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8" w:rsidRPr="0038437A" w:rsidRDefault="003E0938" w:rsidP="003E0938">
      <w:pPr>
        <w:spacing w:line="259" w:lineRule="auto"/>
        <w:jc w:val="center"/>
        <w:rPr>
          <w:rFonts w:eastAsia="Batang"/>
          <w:sz w:val="22"/>
          <w:szCs w:val="22"/>
          <w:lang w:val="lv-LV"/>
        </w:rPr>
      </w:pPr>
      <w:r w:rsidRPr="0038437A">
        <w:rPr>
          <w:rFonts w:eastAsia="Batang"/>
          <w:noProof/>
          <w:sz w:val="22"/>
          <w:szCs w:val="22"/>
          <w:lang w:val="lv-LV" w:eastAsia="lv-LV"/>
        </w:rPr>
        <w:drawing>
          <wp:inline distT="0" distB="0" distL="0" distR="0" wp14:anchorId="62ECA03E" wp14:editId="2ACC4351">
            <wp:extent cx="5524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938" w:rsidRPr="0038437A" w:rsidRDefault="003E0938" w:rsidP="003E0938">
      <w:pPr>
        <w:spacing w:line="259" w:lineRule="auto"/>
        <w:jc w:val="center"/>
        <w:rPr>
          <w:rFonts w:eastAsia="Batang"/>
          <w:b/>
          <w:sz w:val="28"/>
          <w:szCs w:val="28"/>
          <w:lang w:val="lv-LV"/>
        </w:rPr>
      </w:pPr>
      <w:r w:rsidRPr="0038437A">
        <w:rPr>
          <w:rFonts w:eastAsia="Batang"/>
          <w:b/>
          <w:sz w:val="28"/>
          <w:szCs w:val="28"/>
          <w:lang w:val="lv-LV"/>
        </w:rPr>
        <w:t>LATVIJAS REPUBLIKA</w:t>
      </w:r>
    </w:p>
    <w:p w:rsidR="003E0938" w:rsidRPr="0038437A" w:rsidRDefault="003E0938" w:rsidP="003E0938">
      <w:pPr>
        <w:keepNext/>
        <w:pBdr>
          <w:bottom w:val="double" w:sz="4" w:space="1" w:color="auto"/>
        </w:pBdr>
        <w:jc w:val="center"/>
        <w:outlineLvl w:val="0"/>
        <w:rPr>
          <w:rFonts w:eastAsia="Batang"/>
          <w:b/>
          <w:bCs/>
          <w:sz w:val="32"/>
          <w:szCs w:val="32"/>
          <w:lang w:val="en-AU" w:eastAsia="lv-LV" w:bidi="lo-LA"/>
        </w:rPr>
      </w:pPr>
      <w:r w:rsidRPr="0038437A">
        <w:rPr>
          <w:rFonts w:eastAsia="Batang"/>
          <w:b/>
          <w:bCs/>
          <w:sz w:val="32"/>
          <w:szCs w:val="32"/>
          <w:lang w:val="en-AU" w:eastAsia="lv-LV" w:bidi="lo-LA"/>
        </w:rPr>
        <w:t>PRIEKULES NOVADA PAŠVALDĪBAS DOME</w:t>
      </w:r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  <w:r w:rsidRPr="0038437A">
        <w:rPr>
          <w:rFonts w:eastAsia="Batang"/>
          <w:sz w:val="18"/>
          <w:szCs w:val="18"/>
          <w:lang w:val="lv-LV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54"/>
          </w:smartTagPr>
          <w:r w:rsidRPr="0038437A">
            <w:rPr>
              <w:rFonts w:eastAsia="Batang"/>
              <w:sz w:val="18"/>
              <w:szCs w:val="18"/>
              <w:lang w:val="lv-LV"/>
            </w:rPr>
            <w:t>90000031654</w:t>
          </w:r>
        </w:smartTag>
      </w:smartTag>
      <w:r w:rsidRPr="0038437A">
        <w:rPr>
          <w:rFonts w:eastAsia="Batang"/>
          <w:sz w:val="18"/>
          <w:szCs w:val="18"/>
          <w:lang w:val="lv-LV"/>
        </w:rPr>
        <w:t xml:space="preserve">, adrese </w:t>
      </w:r>
      <w:r w:rsidRPr="0038437A">
        <w:rPr>
          <w:rFonts w:eastAsia="Batang"/>
          <w:sz w:val="20"/>
          <w:szCs w:val="20"/>
          <w:lang w:val="lv-LV"/>
        </w:rPr>
        <w:t xml:space="preserve">Saules iela 1, Priekule, Priekules novads, LV-3434,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38437A">
            <w:rPr>
              <w:rFonts w:eastAsia="Batang"/>
              <w:sz w:val="20"/>
              <w:szCs w:val="20"/>
              <w:lang w:val="lv-LV"/>
            </w:rPr>
            <w:t>63461006</w:t>
          </w:r>
        </w:smartTag>
      </w:smartTag>
      <w:r w:rsidRPr="0038437A">
        <w:rPr>
          <w:rFonts w:eastAsia="Batang"/>
          <w:sz w:val="20"/>
          <w:szCs w:val="20"/>
          <w:lang w:val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8437A">
          <w:rPr>
            <w:rFonts w:eastAsia="Batang"/>
            <w:sz w:val="20"/>
            <w:szCs w:val="20"/>
            <w:lang w:val="lv-LV"/>
          </w:rPr>
          <w:t>fakss</w:t>
        </w:r>
      </w:smartTag>
      <w:r w:rsidRPr="0038437A">
        <w:rPr>
          <w:rFonts w:eastAsia="Batang"/>
          <w:sz w:val="20"/>
          <w:szCs w:val="20"/>
          <w:lang w:val="lv-LV"/>
        </w:rPr>
        <w:t xml:space="preserve">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97937"/>
          </w:smartTagPr>
          <w:r w:rsidRPr="0038437A">
            <w:rPr>
              <w:rFonts w:eastAsia="Batang"/>
              <w:sz w:val="20"/>
              <w:szCs w:val="20"/>
              <w:lang w:val="lv-LV"/>
            </w:rPr>
            <w:t>63497937</w:t>
          </w:r>
        </w:smartTag>
      </w:smartTag>
      <w:r w:rsidRPr="0038437A">
        <w:rPr>
          <w:rFonts w:eastAsia="Batang"/>
          <w:sz w:val="20"/>
          <w:szCs w:val="20"/>
          <w:lang w:val="lv-LV"/>
        </w:rPr>
        <w:t xml:space="preserve">, </w:t>
      </w:r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  <w:r w:rsidRPr="0038437A">
        <w:rPr>
          <w:rFonts w:eastAsia="Batang"/>
          <w:sz w:val="20"/>
          <w:szCs w:val="20"/>
          <w:lang w:val="lv-LV"/>
        </w:rPr>
        <w:t xml:space="preserve">e-pasts: </w:t>
      </w:r>
      <w:hyperlink r:id="rId7" w:history="1">
        <w:r w:rsidRPr="0038437A">
          <w:rPr>
            <w:rFonts w:eastAsia="Batang"/>
            <w:color w:val="0563C1" w:themeColor="hyperlink"/>
            <w:sz w:val="20"/>
            <w:szCs w:val="20"/>
            <w:u w:val="single"/>
            <w:lang w:val="lv-LV"/>
          </w:rPr>
          <w:t>dome@priekulesnovads.lv</w:t>
        </w:r>
      </w:hyperlink>
    </w:p>
    <w:p w:rsidR="003E0938" w:rsidRPr="0038437A" w:rsidRDefault="003E0938" w:rsidP="003E0938">
      <w:pPr>
        <w:spacing w:line="259" w:lineRule="auto"/>
        <w:jc w:val="center"/>
        <w:rPr>
          <w:rFonts w:eastAsia="Batang"/>
          <w:sz w:val="20"/>
          <w:szCs w:val="20"/>
          <w:lang w:val="lv-LV"/>
        </w:rPr>
      </w:pPr>
    </w:p>
    <w:p w:rsidR="003E0938" w:rsidRPr="0038437A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                              APSTIPRINĀTS</w:t>
      </w:r>
    </w:p>
    <w:p w:rsidR="003E0938" w:rsidRPr="0038437A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</w:t>
      </w:r>
      <w:r w:rsidR="00EA3CD9">
        <w:rPr>
          <w:rFonts w:ascii="Roman" w:eastAsiaTheme="minorHAnsi" w:hAnsi="Roman" w:cstheme="minorBidi"/>
          <w:lang w:val="lv-LV"/>
        </w:rPr>
        <w:t xml:space="preserve">                               a</w:t>
      </w:r>
      <w:r w:rsidRPr="0038437A">
        <w:rPr>
          <w:rFonts w:ascii="Roman" w:eastAsiaTheme="minorHAnsi" w:hAnsi="Roman" w:cstheme="minorBidi"/>
          <w:lang w:val="lv-LV"/>
        </w:rPr>
        <w:t>r Priekules  novada pašvaldības</w:t>
      </w:r>
    </w:p>
    <w:p w:rsidR="00EA3CD9" w:rsidRDefault="003E0938" w:rsidP="003E0938">
      <w:pPr>
        <w:spacing w:line="276" w:lineRule="auto"/>
        <w:jc w:val="right"/>
        <w:rPr>
          <w:rFonts w:ascii="Roman" w:eastAsiaTheme="minorHAnsi" w:hAnsi="Roman" w:cstheme="minorBidi"/>
          <w:lang w:val="lv-LV"/>
        </w:rPr>
      </w:pPr>
      <w:r w:rsidRPr="0038437A">
        <w:rPr>
          <w:rFonts w:ascii="Roman" w:eastAsiaTheme="minorHAnsi" w:hAnsi="Roman" w:cstheme="minorBidi"/>
          <w:lang w:val="lv-LV"/>
        </w:rPr>
        <w:t xml:space="preserve">                                                                                           201</w:t>
      </w:r>
      <w:r>
        <w:rPr>
          <w:rFonts w:ascii="Roman" w:eastAsiaTheme="minorHAnsi" w:hAnsi="Roman" w:cstheme="minorBidi"/>
          <w:lang w:val="lv-LV"/>
        </w:rPr>
        <w:t>7</w:t>
      </w:r>
      <w:r w:rsidRPr="0038437A">
        <w:rPr>
          <w:rFonts w:ascii="Roman" w:eastAsiaTheme="minorHAnsi" w:hAnsi="Roman" w:cstheme="minorBidi"/>
          <w:lang w:val="lv-LV"/>
        </w:rPr>
        <w:t xml:space="preserve">. gada </w:t>
      </w:r>
      <w:r w:rsidR="00EA3CD9">
        <w:rPr>
          <w:rFonts w:ascii="Roman" w:eastAsiaTheme="minorHAnsi" w:hAnsi="Roman" w:cstheme="minorBidi"/>
          <w:lang w:val="lv-LV"/>
        </w:rPr>
        <w:t>27.</w:t>
      </w:r>
      <w:r w:rsidR="00E60858">
        <w:rPr>
          <w:rFonts w:ascii="Roman" w:eastAsiaTheme="minorHAnsi" w:hAnsi="Roman" w:cstheme="minorBidi"/>
          <w:lang w:val="lv-LV"/>
        </w:rPr>
        <w:t>a</w:t>
      </w:r>
      <w:r>
        <w:rPr>
          <w:rFonts w:ascii="Roman" w:eastAsiaTheme="minorHAnsi" w:hAnsi="Roman" w:cstheme="minorBidi"/>
          <w:lang w:val="lv-LV"/>
        </w:rPr>
        <w:t>prīļa</w:t>
      </w:r>
      <w:r w:rsidRPr="0038437A">
        <w:rPr>
          <w:rFonts w:ascii="Roman" w:eastAsiaTheme="minorHAnsi" w:hAnsi="Roman" w:cstheme="minorBidi"/>
          <w:lang w:val="lv-LV"/>
        </w:rPr>
        <w:t xml:space="preserve"> </w:t>
      </w:r>
      <w:r w:rsidR="00E60858">
        <w:rPr>
          <w:rFonts w:ascii="Roman" w:eastAsiaTheme="minorHAnsi" w:hAnsi="Roman" w:cstheme="minorBidi"/>
          <w:lang w:val="lv-LV"/>
        </w:rPr>
        <w:t xml:space="preserve">domes </w:t>
      </w:r>
      <w:r w:rsidRPr="0038437A">
        <w:rPr>
          <w:rFonts w:ascii="Roman" w:eastAsiaTheme="minorHAnsi" w:hAnsi="Roman" w:cstheme="minorBidi"/>
          <w:lang w:val="lv-LV"/>
        </w:rPr>
        <w:t xml:space="preserve">sēdes </w:t>
      </w:r>
    </w:p>
    <w:p w:rsidR="003E0938" w:rsidRDefault="00EA3CD9" w:rsidP="00EA3CD9">
      <w:pPr>
        <w:ind w:right="43"/>
        <w:jc w:val="right"/>
        <w:rPr>
          <w:lang w:val="lv-LV"/>
        </w:rPr>
      </w:pPr>
      <w:r>
        <w:rPr>
          <w:lang w:val="lv-LV"/>
        </w:rPr>
        <w:t>lēmumu Nr.152 (prto.Nr.5, 4.punkts)</w:t>
      </w:r>
    </w:p>
    <w:p w:rsidR="00EA3CD9" w:rsidRPr="00EA3CD9" w:rsidRDefault="00EA3CD9" w:rsidP="00EA3CD9">
      <w:pPr>
        <w:ind w:right="43"/>
        <w:jc w:val="right"/>
        <w:rPr>
          <w:lang w:val="lv-LV"/>
        </w:rPr>
      </w:pPr>
    </w:p>
    <w:p w:rsidR="003E0938" w:rsidRPr="00201EDA" w:rsidRDefault="003E0938" w:rsidP="003E0938">
      <w:pPr>
        <w:ind w:right="43"/>
        <w:jc w:val="center"/>
        <w:rPr>
          <w:b/>
          <w:lang w:val="lv-LV"/>
        </w:rPr>
      </w:pPr>
      <w:r w:rsidRPr="00201EDA">
        <w:rPr>
          <w:b/>
          <w:lang w:val="lv-LV"/>
        </w:rPr>
        <w:t>Priekules novada pašvaldības</w:t>
      </w:r>
    </w:p>
    <w:p w:rsidR="003E0938" w:rsidRPr="00943B93" w:rsidRDefault="003E0938" w:rsidP="003E0938">
      <w:pPr>
        <w:ind w:right="43"/>
        <w:jc w:val="center"/>
        <w:rPr>
          <w:b/>
          <w:lang w:val="lv-LV"/>
        </w:rPr>
      </w:pPr>
      <w:r>
        <w:rPr>
          <w:b/>
          <w:lang w:val="lv-LV"/>
        </w:rPr>
        <w:t>d</w:t>
      </w:r>
      <w:r w:rsidRPr="00943B93">
        <w:rPr>
          <w:b/>
          <w:lang w:val="lv-LV"/>
        </w:rPr>
        <w:t xml:space="preserve">okumentu un arhīva pārvaldības ekspertu komisijas </w:t>
      </w:r>
      <w:r>
        <w:rPr>
          <w:b/>
          <w:lang w:val="lv-LV"/>
        </w:rPr>
        <w:t>nolikums</w:t>
      </w: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>Izdoti saskaņā ar Valsts pārvaldes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 xml:space="preserve"> iekārtas likuma 73.panta pirmās daļas 1.punktu,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>06.11.2012. Ministru kabineta noteikumu Nr.748</w:t>
      </w:r>
    </w:p>
    <w:p w:rsidR="003E0938" w:rsidRPr="00943B93" w:rsidRDefault="003E0938" w:rsidP="003E0938">
      <w:pPr>
        <w:ind w:right="43"/>
        <w:jc w:val="right"/>
        <w:rPr>
          <w:i/>
          <w:sz w:val="22"/>
          <w:szCs w:val="22"/>
          <w:lang w:val="lv-LV"/>
        </w:rPr>
      </w:pPr>
      <w:r w:rsidRPr="00943B93">
        <w:rPr>
          <w:i/>
          <w:sz w:val="22"/>
          <w:szCs w:val="22"/>
          <w:lang w:val="lv-LV"/>
        </w:rPr>
        <w:t>„Dokumentu un arhīvu pārvaldības noteikumu” 9.punktu</w:t>
      </w: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943B93" w:rsidRDefault="003E0938" w:rsidP="003E0938">
      <w:pPr>
        <w:ind w:right="43"/>
        <w:jc w:val="both"/>
        <w:rPr>
          <w:lang w:val="lv-LV"/>
        </w:rPr>
      </w:pPr>
    </w:p>
    <w:p w:rsidR="003E0938" w:rsidRPr="00201EDA" w:rsidRDefault="003E0938" w:rsidP="003E0938">
      <w:pPr>
        <w:pStyle w:val="ListParagraph"/>
        <w:numPr>
          <w:ilvl w:val="0"/>
          <w:numId w:val="1"/>
        </w:numPr>
        <w:ind w:right="43"/>
        <w:jc w:val="center"/>
        <w:rPr>
          <w:rFonts w:eastAsia="Calibri"/>
          <w:b/>
          <w:lang w:val="lv-LV"/>
        </w:rPr>
      </w:pPr>
      <w:r w:rsidRPr="00201EDA">
        <w:rPr>
          <w:rFonts w:eastAsia="Calibri"/>
          <w:b/>
          <w:lang w:val="lv-LV"/>
        </w:rPr>
        <w:t>Vispārīgie noteikumi</w:t>
      </w:r>
    </w:p>
    <w:p w:rsidR="003E0938" w:rsidRDefault="003E0938" w:rsidP="003E0938">
      <w:pPr>
        <w:ind w:right="43"/>
        <w:jc w:val="center"/>
        <w:rPr>
          <w:rFonts w:eastAsia="Calibri"/>
          <w:b/>
          <w:lang w:val="lv-LV"/>
        </w:rPr>
      </w:pP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Nolikums nosaka Priekules novada  pašvaldības</w:t>
      </w:r>
      <w:r w:rsidRPr="00CB0F78">
        <w:rPr>
          <w:rFonts w:eastAsia="Calibri"/>
          <w:lang w:val="lv-LV"/>
        </w:rPr>
        <w:t xml:space="preserve"> (turpmāk – </w:t>
      </w:r>
      <w:r>
        <w:rPr>
          <w:rFonts w:eastAsia="Calibri"/>
          <w:lang w:val="lv-LV"/>
        </w:rPr>
        <w:t>pašvaldība</w:t>
      </w:r>
      <w:r w:rsidRPr="00CB0F78">
        <w:rPr>
          <w:rFonts w:eastAsia="Calibri"/>
          <w:lang w:val="lv-LV"/>
        </w:rPr>
        <w:t>) dokumentu un arhīva pārvaldības ekspertu komisija</w:t>
      </w:r>
      <w:r>
        <w:rPr>
          <w:rFonts w:eastAsia="Calibri"/>
          <w:lang w:val="lv-LV"/>
        </w:rPr>
        <w:t xml:space="preserve">s </w:t>
      </w:r>
      <w:r w:rsidRPr="00CB0F78">
        <w:rPr>
          <w:rFonts w:eastAsia="Calibri"/>
          <w:lang w:val="lv-LV"/>
        </w:rPr>
        <w:t xml:space="preserve">izveidošanas un sēžu norises kārtību, funkcijas un tiesības, kas saistītas ar </w:t>
      </w:r>
      <w:r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dokumentārā mantojuma veidošanu, uzkrāšanu, izvērtēšanu, saglabāšanu, pieejamību un izmantošanu.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darbojas saskaņā ar Arhīvu likumu, Elektronisko dokumentu likumu, Dokumentu juridiskā spēka likumu, attiecīgiem Ministru kabineta noteikumiem un Latvijas Nacionālā arhīva ieteikumie</w:t>
      </w:r>
      <w:r>
        <w:rPr>
          <w:rFonts w:eastAsia="Calibri"/>
          <w:lang w:val="lv-LV"/>
        </w:rPr>
        <w:t>m un norādījumiem, pašvaldības domes lēmumiem un šo nolikumu.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komisijai ir padomdevēja tiesības.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II. Ekspertu komisijas struktūra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komisijas sastāvu </w:t>
      </w:r>
      <w:r>
        <w:rPr>
          <w:rFonts w:eastAsia="Calibri"/>
          <w:lang w:val="lv-LV"/>
        </w:rPr>
        <w:t>un tās locekļu pienākumu sadalījumu nosaka domes priekšsēdētājs ar rīkojumu.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sastāvā ietilpst:</w:t>
      </w:r>
    </w:p>
    <w:p w:rsidR="003E0938" w:rsidRDefault="003E0938" w:rsidP="003E0938">
      <w:pPr>
        <w:pStyle w:val="ListParagraph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priekšsēdētājs;</w:t>
      </w:r>
    </w:p>
    <w:p w:rsidR="003E0938" w:rsidRPr="00CB0F78" w:rsidRDefault="003E0938" w:rsidP="003E0938">
      <w:pPr>
        <w:pStyle w:val="ListParagraph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Ekspertu komisijas sekretārs ar balss tiesībām;</w:t>
      </w:r>
    </w:p>
    <w:p w:rsidR="003E0938" w:rsidRPr="00CB0F78" w:rsidRDefault="003E0938" w:rsidP="003E0938">
      <w:pPr>
        <w:pStyle w:val="ListParagraph"/>
        <w:numPr>
          <w:ilvl w:val="1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</w:t>
      </w:r>
      <w:r w:rsidRPr="00CB0F78">
        <w:rPr>
          <w:rFonts w:eastAsia="Calibri"/>
          <w:color w:val="FF0000"/>
          <w:lang w:val="lv-LV"/>
        </w:rPr>
        <w:t xml:space="preserve"> </w:t>
      </w:r>
      <w:r>
        <w:rPr>
          <w:rFonts w:eastAsia="Calibri"/>
          <w:color w:val="FF0000"/>
          <w:lang w:val="lv-LV"/>
        </w:rPr>
        <w:t xml:space="preserve"> </w:t>
      </w:r>
      <w:r w:rsidRPr="003E0938">
        <w:rPr>
          <w:rFonts w:eastAsia="Calibri"/>
          <w:lang w:val="lv-LV"/>
        </w:rPr>
        <w:t xml:space="preserve">3 (trīs) </w:t>
      </w:r>
      <w:r>
        <w:rPr>
          <w:rFonts w:eastAsia="Calibri"/>
          <w:lang w:val="lv-LV"/>
        </w:rPr>
        <w:t>locekļi.</w:t>
      </w:r>
      <w:r w:rsidR="00FA2A7B">
        <w:rPr>
          <w:rFonts w:eastAsia="Calibri"/>
          <w:lang w:val="lv-LV"/>
        </w:rPr>
        <w:t xml:space="preserve"> Viens no ekspertu komisijas sastāva ir atbildīgais darbinieks par pašvaldības dokumentu un arhīva pārvaldību.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III. Ekspertu komisijas sēžu norise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komisijas sēdes sasauc pēc vajadzības.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Ekspertu komisijas sēdi vada e</w:t>
      </w:r>
      <w:r w:rsidRPr="00CB0F78">
        <w:rPr>
          <w:rFonts w:eastAsia="Calibri"/>
          <w:lang w:val="lv-LV"/>
        </w:rPr>
        <w:t>kspertu komisijas priekšsēdētājs, bet protokolē sekretārs.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lastRenderedPageBreak/>
        <w:t xml:space="preserve">Ekspertu komisija pieņem lēmumus ar balsu vairākumu. Ja balsis sadalās līdzīgi, </w:t>
      </w:r>
      <w:r>
        <w:rPr>
          <w:rFonts w:eastAsia="Calibri"/>
          <w:lang w:val="lv-LV"/>
        </w:rPr>
        <w:t>izšķirošā ir e</w:t>
      </w:r>
      <w:r w:rsidRPr="00CB0F78">
        <w:rPr>
          <w:rFonts w:eastAsia="Calibri"/>
          <w:lang w:val="lv-LV"/>
        </w:rPr>
        <w:t>kspertu komisijas priekšsēdētāja balss.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ir lemttiesīga, ja sēdē piedalās ne mazāk kā puse dalībnieku.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spacing w:line="240" w:lineRule="exact"/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IV. Ekspertu komisijas uzdevumi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Ekspertu komisija izvērtē:</w:t>
      </w:r>
    </w:p>
    <w:p w:rsidR="003E0938" w:rsidRPr="00CB0F78" w:rsidRDefault="003E0938" w:rsidP="003E0938">
      <w:pPr>
        <w:pStyle w:val="ListParagraph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10.1.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dokumentu glabāšanas termiņus un arhīvisko vērtību;</w:t>
      </w:r>
    </w:p>
    <w:p w:rsidR="003E0938" w:rsidRPr="00CB0F78" w:rsidRDefault="003E0938" w:rsidP="003E0938">
      <w:pPr>
        <w:pStyle w:val="ListParagraph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</w:t>
      </w:r>
      <w:r w:rsidRPr="00CB0F78">
        <w:rPr>
          <w:rFonts w:eastAsia="Calibri"/>
          <w:lang w:val="lv-LV"/>
        </w:rPr>
        <w:t>.2.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dokumentu uzziņu sistēmas (aprakstus, glabājamo vienību uzskaites sarakstus u.c.);</w:t>
      </w:r>
    </w:p>
    <w:p w:rsidR="003E0938" w:rsidRPr="00CB0F78" w:rsidRDefault="003E0938" w:rsidP="003E0938">
      <w:pPr>
        <w:pStyle w:val="ListParagraph"/>
        <w:ind w:left="987"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10</w:t>
      </w:r>
      <w:r w:rsidRPr="00CB0F78">
        <w:rPr>
          <w:rFonts w:eastAsia="Calibri"/>
          <w:lang w:val="lv-LV"/>
        </w:rPr>
        <w:t>.3.</w:t>
      </w:r>
      <w:r>
        <w:rPr>
          <w:rFonts w:eastAsia="Calibri"/>
          <w:lang w:val="lv-LV"/>
        </w:rPr>
        <w:t>P</w:t>
      </w:r>
      <w:r w:rsidRPr="00CB0F78">
        <w:rPr>
          <w:rFonts w:eastAsia="Calibri"/>
          <w:lang w:val="lv-LV"/>
        </w:rPr>
        <w:t>astāvīgi, ilgstoši glabājamo un personāla dokumentu atlasi turpmākai glabāšanai, kā arī īslaicīgi (līdz 10 gadiem ieskaitot) glabājamo dokumentu atlasi iznīcināšanai.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 izskata normatīvo dokumentu projektus (dokumentu klasifikācijas shēmu, lietu nomenklatūru u.c.), kas reglamentē </w:t>
      </w:r>
      <w:r w:rsidR="00FA2A7B">
        <w:rPr>
          <w:rFonts w:eastAsia="Calibri"/>
          <w:lang w:val="lv-LV"/>
        </w:rPr>
        <w:t xml:space="preserve">pašvaldības </w:t>
      </w:r>
      <w:r w:rsidRPr="00CB0F78">
        <w:rPr>
          <w:rFonts w:eastAsia="Calibri"/>
          <w:lang w:val="lv-LV"/>
        </w:rPr>
        <w:t>dokumentu un arhīva pārvaldību.</w:t>
      </w:r>
    </w:p>
    <w:p w:rsidR="003E0938" w:rsidRPr="00CB0F7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 xml:space="preserve">Ekspertu komisija sniedz konsultācijas </w:t>
      </w:r>
      <w:r w:rsidR="00FA2A7B">
        <w:rPr>
          <w:rFonts w:eastAsia="Calibri"/>
          <w:lang w:val="lv-LV"/>
        </w:rPr>
        <w:t>pašvaldības</w:t>
      </w:r>
      <w:r w:rsidRPr="00CB0F78">
        <w:rPr>
          <w:rFonts w:eastAsia="Calibri"/>
          <w:lang w:val="lv-LV"/>
        </w:rPr>
        <w:t xml:space="preserve"> darbiniekiem dokumentu pārvaldības un ekspertīzes jautājumos.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33FA4">
      <w:pPr>
        <w:spacing w:line="240" w:lineRule="exact"/>
        <w:ind w:right="43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spacing w:line="240" w:lineRule="exact"/>
        <w:ind w:right="43" w:firstLine="567"/>
        <w:jc w:val="center"/>
        <w:rPr>
          <w:rFonts w:eastAsia="Calibri"/>
          <w:b/>
          <w:lang w:val="lv-LV"/>
        </w:rPr>
      </w:pPr>
      <w:r w:rsidRPr="00943B93">
        <w:rPr>
          <w:rFonts w:eastAsia="Calibri"/>
          <w:b/>
          <w:lang w:val="lv-LV"/>
        </w:rPr>
        <w:t>V. Ekspertu komisijas tiesības</w:t>
      </w:r>
    </w:p>
    <w:p w:rsidR="003E0938" w:rsidRPr="00943B93" w:rsidRDefault="003E0938" w:rsidP="003E0938">
      <w:pPr>
        <w:spacing w:line="240" w:lineRule="exact"/>
        <w:ind w:right="43" w:firstLine="567"/>
        <w:jc w:val="both"/>
        <w:rPr>
          <w:rFonts w:eastAsia="Calibri"/>
          <w:lang w:val="lv-LV"/>
        </w:rPr>
      </w:pPr>
    </w:p>
    <w:p w:rsidR="003E0938" w:rsidRDefault="003E0938" w:rsidP="003E0938">
      <w:pPr>
        <w:pStyle w:val="ListParagraph"/>
        <w:numPr>
          <w:ilvl w:val="0"/>
          <w:numId w:val="2"/>
        </w:numPr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Lai īstenotu minētās funkcijas ekspertu komisijai ir tiesības:</w:t>
      </w:r>
    </w:p>
    <w:p w:rsidR="003E0938" w:rsidRDefault="003E0938" w:rsidP="003E0938">
      <w:pPr>
        <w:pStyle w:val="ListParagraph"/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13.1.</w:t>
      </w:r>
      <w:r w:rsidRPr="00D7653B">
        <w:rPr>
          <w:rFonts w:eastAsia="Calibri"/>
          <w:lang w:val="lv-LV"/>
        </w:rPr>
        <w:t xml:space="preserve">iesniegt </w:t>
      </w:r>
      <w:r w:rsidR="00333FA4">
        <w:rPr>
          <w:rFonts w:eastAsia="Calibri"/>
          <w:lang w:val="lv-LV"/>
        </w:rPr>
        <w:t>pašvaldībai</w:t>
      </w:r>
      <w:r w:rsidRPr="00D7653B">
        <w:rPr>
          <w:rFonts w:eastAsia="Calibri"/>
          <w:lang w:val="lv-LV"/>
        </w:rPr>
        <w:t xml:space="preserve"> priekšlikumus dokumentu un arhīva pārvaldības uzlabošanai;</w:t>
      </w:r>
    </w:p>
    <w:p w:rsidR="003E0938" w:rsidRDefault="003E0938" w:rsidP="003E0938">
      <w:pPr>
        <w:pStyle w:val="ListParagraph"/>
        <w:ind w:right="43"/>
        <w:jc w:val="both"/>
        <w:rPr>
          <w:rFonts w:eastAsia="Calibri"/>
          <w:lang w:val="lv-LV"/>
        </w:rPr>
      </w:pPr>
      <w:r w:rsidRPr="00D7653B">
        <w:rPr>
          <w:rFonts w:eastAsia="Calibri"/>
          <w:lang w:val="lv-LV"/>
        </w:rPr>
        <w:t xml:space="preserve">13.2. dot norādījumus </w:t>
      </w:r>
      <w:r w:rsidR="00333FA4">
        <w:rPr>
          <w:rFonts w:eastAsia="Calibri"/>
          <w:lang w:val="lv-LV"/>
        </w:rPr>
        <w:t xml:space="preserve">pašvaldības </w:t>
      </w:r>
      <w:r w:rsidRPr="00D7653B">
        <w:rPr>
          <w:rFonts w:eastAsia="Calibri"/>
          <w:lang w:val="lv-LV"/>
        </w:rPr>
        <w:t>struktūrvienībām (darbiniekiem) par dokumentu atlasi un sagatavošanu turpmākai glabāšanai vai iznīcināšanai;</w:t>
      </w:r>
    </w:p>
    <w:p w:rsidR="003E0938" w:rsidRPr="00D7653B" w:rsidRDefault="003E0938" w:rsidP="003E0938">
      <w:pPr>
        <w:pStyle w:val="ListParagraph"/>
        <w:ind w:right="43"/>
        <w:jc w:val="both"/>
        <w:rPr>
          <w:rFonts w:eastAsia="Calibri"/>
          <w:lang w:val="lv-LV"/>
        </w:rPr>
      </w:pPr>
      <w:r w:rsidRPr="00D7653B">
        <w:rPr>
          <w:rFonts w:eastAsia="Calibri"/>
          <w:lang w:val="lv-LV"/>
        </w:rPr>
        <w:t xml:space="preserve">13.3. </w:t>
      </w:r>
      <w:r w:rsidR="00333FA4">
        <w:rPr>
          <w:rFonts w:eastAsia="Calibri"/>
          <w:lang w:val="lv-LV"/>
        </w:rPr>
        <w:t>pieprasīt no pašvaldības</w:t>
      </w:r>
      <w:r w:rsidRPr="00D7653B">
        <w:rPr>
          <w:rFonts w:eastAsia="Calibri"/>
          <w:lang w:val="lv-LV"/>
        </w:rPr>
        <w:t xml:space="preserve"> struktūrvienību darbiniekiem informāciju, kas nepieciešama dokumentu glabāšanas termiņa un arhīviskās vērtības noteikšanai;</w:t>
      </w:r>
    </w:p>
    <w:p w:rsidR="003E0938" w:rsidRPr="00CB0F78" w:rsidRDefault="003E0938" w:rsidP="003E0938">
      <w:pPr>
        <w:pStyle w:val="ListParagraph"/>
        <w:ind w:right="43"/>
        <w:jc w:val="both"/>
        <w:rPr>
          <w:rFonts w:eastAsia="Calibri"/>
          <w:lang w:val="lv-LV"/>
        </w:rPr>
      </w:pPr>
      <w:r w:rsidRPr="00CB0F78">
        <w:rPr>
          <w:rFonts w:eastAsia="Calibri"/>
          <w:lang w:val="lv-LV"/>
        </w:rPr>
        <w:t>13.4.</w:t>
      </w:r>
      <w:r>
        <w:rPr>
          <w:rFonts w:eastAsia="Calibri"/>
          <w:lang w:val="lv-LV"/>
        </w:rPr>
        <w:t xml:space="preserve"> </w:t>
      </w:r>
      <w:r w:rsidRPr="00CB0F78">
        <w:rPr>
          <w:rFonts w:eastAsia="Calibri"/>
          <w:lang w:val="lv-LV"/>
        </w:rPr>
        <w:t xml:space="preserve">pieaicināt uz konsultācijām </w:t>
      </w:r>
      <w:r w:rsidR="00FA2A7B">
        <w:rPr>
          <w:rFonts w:eastAsia="Calibri"/>
          <w:lang w:val="lv-LV"/>
        </w:rPr>
        <w:t>Latvijas Nacionālā</w:t>
      </w:r>
      <w:r w:rsidRPr="00CB0F78">
        <w:rPr>
          <w:rFonts w:eastAsia="Calibri"/>
          <w:lang w:val="lv-LV"/>
        </w:rPr>
        <w:t xml:space="preserve"> arhīva speciālistus.</w:t>
      </w:r>
    </w:p>
    <w:p w:rsidR="003E0938" w:rsidRPr="00943B93" w:rsidRDefault="003E0938" w:rsidP="003E0938">
      <w:pPr>
        <w:ind w:right="43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/>
        <w:jc w:val="both"/>
        <w:rPr>
          <w:rFonts w:eastAsia="Calibri"/>
          <w:lang w:val="lv-LV"/>
        </w:rPr>
      </w:pPr>
    </w:p>
    <w:p w:rsidR="00127C7B" w:rsidRDefault="00127C7B" w:rsidP="003E0938">
      <w:pPr>
        <w:ind w:right="43"/>
        <w:jc w:val="both"/>
        <w:rPr>
          <w:rFonts w:eastAsia="Calibri"/>
          <w:lang w:val="lv-LV"/>
        </w:rPr>
      </w:pPr>
    </w:p>
    <w:p w:rsidR="003E0938" w:rsidRPr="00943B93" w:rsidRDefault="00D04CB3" w:rsidP="003E0938">
      <w:pPr>
        <w:ind w:right="43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Pašvaldības d</w:t>
      </w:r>
      <w:r w:rsidR="003E0938">
        <w:rPr>
          <w:rFonts w:eastAsia="Calibri"/>
          <w:lang w:val="lv-LV"/>
        </w:rPr>
        <w:t>omes priekšsēdētāja</w:t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 w:rsidRPr="00943B93">
        <w:rPr>
          <w:rFonts w:eastAsia="Calibri"/>
          <w:lang w:val="lv-LV"/>
        </w:rPr>
        <w:tab/>
      </w:r>
      <w:r w:rsidR="003E0938">
        <w:rPr>
          <w:rFonts w:eastAsia="Calibri"/>
          <w:lang w:val="lv-LV"/>
        </w:rPr>
        <w:t>V.Jablonska</w:t>
      </w: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tabs>
          <w:tab w:val="num" w:pos="1440"/>
        </w:tabs>
        <w:ind w:right="43" w:firstLine="567"/>
        <w:jc w:val="both"/>
        <w:rPr>
          <w:rFonts w:eastAsia="Calibri"/>
          <w:lang w:val="lv-LV"/>
        </w:rPr>
      </w:pPr>
    </w:p>
    <w:p w:rsidR="003E0938" w:rsidRPr="00943B93" w:rsidRDefault="003E0938" w:rsidP="003E0938">
      <w:pPr>
        <w:ind w:right="43" w:firstLine="567"/>
        <w:jc w:val="both"/>
        <w:rPr>
          <w:rFonts w:eastAsia="Calibri"/>
          <w:lang w:val="lv-LV"/>
        </w:rPr>
      </w:pPr>
    </w:p>
    <w:p w:rsidR="003E0938" w:rsidRDefault="003E0938" w:rsidP="003E0938">
      <w:pPr>
        <w:jc w:val="both"/>
      </w:pPr>
    </w:p>
    <w:p w:rsidR="007C17B5" w:rsidRDefault="007C17B5"/>
    <w:sectPr w:rsidR="007C17B5" w:rsidSect="00C1431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C874B70"/>
    <w:multiLevelType w:val="hybridMultilevel"/>
    <w:tmpl w:val="A2BC8402"/>
    <w:lvl w:ilvl="0" w:tplc="CDE8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13D1"/>
    <w:multiLevelType w:val="multilevel"/>
    <w:tmpl w:val="E7E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8"/>
    <w:rsid w:val="00127C7B"/>
    <w:rsid w:val="001A7D81"/>
    <w:rsid w:val="00333FA4"/>
    <w:rsid w:val="003E0938"/>
    <w:rsid w:val="00403033"/>
    <w:rsid w:val="0046139F"/>
    <w:rsid w:val="005335D5"/>
    <w:rsid w:val="006712F9"/>
    <w:rsid w:val="007C17B5"/>
    <w:rsid w:val="00AE373A"/>
    <w:rsid w:val="00BF2ADF"/>
    <w:rsid w:val="00D00014"/>
    <w:rsid w:val="00D04CB3"/>
    <w:rsid w:val="00DB6899"/>
    <w:rsid w:val="00E60858"/>
    <w:rsid w:val="00EA3CD9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033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03033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4030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033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03033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4030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2017-05-12T16:11:00Z</dcterms:created>
  <dcterms:modified xsi:type="dcterms:W3CDTF">2017-05-12T16:11:00Z</dcterms:modified>
</cp:coreProperties>
</file>