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FF" w:rsidRDefault="00D30FDA" w:rsidP="00D30FDA">
      <w:pPr>
        <w:spacing w:after="0"/>
        <w:jc w:val="right"/>
        <w:rPr>
          <w:rFonts w:ascii="Times New Roman" w:hAnsi="Times New Roman" w:cs="Times New Roman"/>
        </w:rPr>
      </w:pPr>
      <w:r>
        <w:rPr>
          <w:rFonts w:ascii="Times New Roman" w:hAnsi="Times New Roman" w:cs="Times New Roman"/>
        </w:rPr>
        <w:t>7.pielikums</w:t>
      </w:r>
    </w:p>
    <w:p w:rsidR="00D30FDA" w:rsidRDefault="00D30FDA" w:rsidP="00D30FDA">
      <w:pPr>
        <w:spacing w:after="0"/>
        <w:jc w:val="right"/>
        <w:rPr>
          <w:rFonts w:ascii="Times New Roman" w:hAnsi="Times New Roman" w:cs="Times New Roman"/>
        </w:rPr>
      </w:pPr>
      <w:r>
        <w:rPr>
          <w:rFonts w:ascii="Times New Roman" w:hAnsi="Times New Roman" w:cs="Times New Roman"/>
        </w:rPr>
        <w:t>Priekules novada pašvaldības domes</w:t>
      </w:r>
    </w:p>
    <w:p w:rsidR="00D30FDA" w:rsidRPr="00D30FDA" w:rsidRDefault="007E7A74" w:rsidP="00D30FDA">
      <w:pPr>
        <w:spacing w:after="0"/>
        <w:jc w:val="right"/>
        <w:rPr>
          <w:rFonts w:ascii="Times New Roman" w:hAnsi="Times New Roman" w:cs="Times New Roman"/>
        </w:rPr>
      </w:pPr>
      <w:r>
        <w:rPr>
          <w:rFonts w:ascii="Times New Roman" w:hAnsi="Times New Roman" w:cs="Times New Roman"/>
        </w:rPr>
        <w:t>25</w:t>
      </w:r>
      <w:r w:rsidR="00D30FDA">
        <w:rPr>
          <w:rFonts w:ascii="Times New Roman" w:hAnsi="Times New Roman" w:cs="Times New Roman"/>
        </w:rPr>
        <w:t>.01.201</w:t>
      </w:r>
      <w:r w:rsidR="00A85658">
        <w:rPr>
          <w:rFonts w:ascii="Times New Roman" w:hAnsi="Times New Roman" w:cs="Times New Roman"/>
        </w:rPr>
        <w:t>8</w:t>
      </w:r>
      <w:r w:rsidR="00D30FDA">
        <w:rPr>
          <w:rFonts w:ascii="Times New Roman" w:hAnsi="Times New Roman" w:cs="Times New Roman"/>
        </w:rPr>
        <w:t>.lēmumam</w:t>
      </w:r>
      <w:r w:rsidR="00BB51F5">
        <w:rPr>
          <w:rFonts w:ascii="Times New Roman" w:hAnsi="Times New Roman" w:cs="Times New Roman"/>
        </w:rPr>
        <w:t xml:space="preserve"> Nr.1 (prot.Nr.1</w:t>
      </w:r>
      <w:r w:rsidR="00D30FDA">
        <w:rPr>
          <w:rFonts w:ascii="Times New Roman" w:hAnsi="Times New Roman" w:cs="Times New Roman"/>
        </w:rPr>
        <w:t>)</w:t>
      </w:r>
    </w:p>
    <w:p w:rsidR="00D30FDA" w:rsidRDefault="00D30FDA" w:rsidP="00E610FA">
      <w:pPr>
        <w:spacing w:after="0"/>
        <w:jc w:val="center"/>
        <w:rPr>
          <w:rFonts w:ascii="Times New Roman" w:hAnsi="Times New Roman" w:cs="Times New Roman"/>
          <w:b/>
          <w:sz w:val="28"/>
          <w:szCs w:val="28"/>
        </w:rPr>
      </w:pPr>
    </w:p>
    <w:p w:rsidR="00BB51F5" w:rsidRDefault="00BB51F5" w:rsidP="00E610FA">
      <w:pPr>
        <w:spacing w:after="0"/>
        <w:jc w:val="center"/>
        <w:rPr>
          <w:rFonts w:ascii="Times New Roman" w:hAnsi="Times New Roman" w:cs="Times New Roman"/>
          <w:b/>
          <w:sz w:val="28"/>
          <w:szCs w:val="28"/>
        </w:rPr>
      </w:pPr>
    </w:p>
    <w:p w:rsidR="008757C7" w:rsidRDefault="008757C7" w:rsidP="00E610FA">
      <w:pPr>
        <w:spacing w:after="0"/>
        <w:jc w:val="center"/>
        <w:rPr>
          <w:rFonts w:ascii="Times New Roman" w:hAnsi="Times New Roman" w:cs="Times New Roman"/>
          <w:b/>
          <w:sz w:val="28"/>
          <w:szCs w:val="28"/>
        </w:rPr>
      </w:pPr>
      <w:r w:rsidRPr="00FE611F">
        <w:rPr>
          <w:rFonts w:ascii="Times New Roman" w:hAnsi="Times New Roman" w:cs="Times New Roman"/>
          <w:b/>
          <w:sz w:val="28"/>
          <w:szCs w:val="28"/>
        </w:rPr>
        <w:t>Paskaidrojuma raksts par Priekules novada pašvaldības</w:t>
      </w:r>
    </w:p>
    <w:p w:rsidR="008757C7" w:rsidRPr="00FE611F" w:rsidRDefault="008757C7" w:rsidP="00E610FA">
      <w:pPr>
        <w:spacing w:after="0"/>
        <w:jc w:val="center"/>
        <w:rPr>
          <w:rFonts w:ascii="Times New Roman" w:hAnsi="Times New Roman" w:cs="Times New Roman"/>
          <w:b/>
          <w:sz w:val="28"/>
          <w:szCs w:val="28"/>
        </w:rPr>
      </w:pPr>
      <w:r w:rsidRPr="00FE611F">
        <w:rPr>
          <w:rFonts w:ascii="Times New Roman" w:hAnsi="Times New Roman" w:cs="Times New Roman"/>
          <w:b/>
          <w:sz w:val="28"/>
          <w:szCs w:val="28"/>
        </w:rPr>
        <w:t>201</w:t>
      </w:r>
      <w:r w:rsidR="00A85658">
        <w:rPr>
          <w:rFonts w:ascii="Times New Roman" w:hAnsi="Times New Roman" w:cs="Times New Roman"/>
          <w:b/>
          <w:sz w:val="28"/>
          <w:szCs w:val="28"/>
        </w:rPr>
        <w:t>8</w:t>
      </w:r>
      <w:r w:rsidRPr="00FE611F">
        <w:rPr>
          <w:rFonts w:ascii="Times New Roman" w:hAnsi="Times New Roman" w:cs="Times New Roman"/>
          <w:b/>
          <w:sz w:val="28"/>
          <w:szCs w:val="28"/>
        </w:rPr>
        <w:t>.gada budžetu</w:t>
      </w:r>
    </w:p>
    <w:p w:rsidR="00E610FA" w:rsidRDefault="00E610FA" w:rsidP="00AC2E56">
      <w:pPr>
        <w:jc w:val="center"/>
        <w:rPr>
          <w:rFonts w:ascii="Times New Roman" w:hAnsi="Times New Roman" w:cs="Times New Roman"/>
          <w:b/>
          <w:sz w:val="24"/>
          <w:szCs w:val="24"/>
        </w:rPr>
      </w:pPr>
    </w:p>
    <w:p w:rsidR="008757C7" w:rsidRPr="00AC2E56" w:rsidRDefault="008757C7" w:rsidP="00AC2E56">
      <w:pPr>
        <w:jc w:val="center"/>
        <w:rPr>
          <w:rFonts w:ascii="Times New Roman" w:hAnsi="Times New Roman" w:cs="Times New Roman"/>
          <w:b/>
          <w:sz w:val="24"/>
          <w:szCs w:val="24"/>
        </w:rPr>
      </w:pPr>
      <w:r>
        <w:rPr>
          <w:rFonts w:ascii="Times New Roman" w:hAnsi="Times New Roman" w:cs="Times New Roman"/>
          <w:b/>
          <w:sz w:val="24"/>
          <w:szCs w:val="24"/>
        </w:rPr>
        <w:t xml:space="preserve">Priekules </w:t>
      </w:r>
      <w:r w:rsidRPr="00FE611F">
        <w:rPr>
          <w:rFonts w:ascii="Times New Roman" w:hAnsi="Times New Roman" w:cs="Times New Roman"/>
          <w:b/>
          <w:sz w:val="24"/>
          <w:szCs w:val="24"/>
        </w:rPr>
        <w:t xml:space="preserve"> novada domes priekšsēdētāja</w:t>
      </w:r>
      <w:r>
        <w:rPr>
          <w:rFonts w:ascii="Times New Roman" w:hAnsi="Times New Roman" w:cs="Times New Roman"/>
          <w:b/>
          <w:sz w:val="24"/>
          <w:szCs w:val="24"/>
        </w:rPr>
        <w:t>s</w:t>
      </w:r>
      <w:r w:rsidRPr="00FE611F">
        <w:rPr>
          <w:rFonts w:ascii="Times New Roman" w:hAnsi="Times New Roman" w:cs="Times New Roman"/>
          <w:b/>
          <w:sz w:val="24"/>
          <w:szCs w:val="24"/>
        </w:rPr>
        <w:t xml:space="preserve"> ziņojums</w:t>
      </w:r>
    </w:p>
    <w:p w:rsidR="008757C7" w:rsidRPr="00890746" w:rsidRDefault="008757C7" w:rsidP="00890746">
      <w:pPr>
        <w:spacing w:after="0"/>
        <w:ind w:firstLine="720"/>
        <w:jc w:val="both"/>
        <w:rPr>
          <w:rFonts w:ascii="Times New Roman" w:hAnsi="Times New Roman" w:cs="Times New Roman"/>
          <w:b/>
          <w:sz w:val="24"/>
          <w:szCs w:val="24"/>
        </w:rPr>
      </w:pPr>
      <w:r w:rsidRPr="00890746">
        <w:rPr>
          <w:rFonts w:ascii="Times New Roman" w:hAnsi="Times New Roman" w:cs="Times New Roman"/>
          <w:sz w:val="24"/>
          <w:szCs w:val="24"/>
        </w:rPr>
        <w:t>Pašvaldības darbības finansiālo pamatu veido budžets, kas kalpo kā instruments pašvaldības autonomo funkciju izpildes nodrošināšanai, ekonomisko un sociālo vajadzību sabalansēšanai un pašvaldības administratīvās teritorijas ilgtspējīgai attīstībai.</w:t>
      </w:r>
      <w:r w:rsidRPr="00890746">
        <w:rPr>
          <w:rFonts w:ascii="Times New Roman" w:hAnsi="Times New Roman" w:cs="Times New Roman"/>
          <w:b/>
          <w:sz w:val="24"/>
          <w:szCs w:val="24"/>
        </w:rPr>
        <w:t xml:space="preserve"> </w:t>
      </w:r>
    </w:p>
    <w:p w:rsidR="008757C7" w:rsidRPr="00890746" w:rsidRDefault="008757C7" w:rsidP="00890746">
      <w:pPr>
        <w:spacing w:after="0"/>
        <w:ind w:firstLine="720"/>
        <w:jc w:val="both"/>
        <w:rPr>
          <w:rFonts w:ascii="Times New Roman" w:hAnsi="Times New Roman" w:cs="Times New Roman"/>
          <w:sz w:val="24"/>
          <w:szCs w:val="24"/>
        </w:rPr>
      </w:pPr>
      <w:r w:rsidRPr="00890746">
        <w:rPr>
          <w:rFonts w:ascii="Times New Roman" w:hAnsi="Times New Roman" w:cs="Times New Roman"/>
          <w:sz w:val="24"/>
          <w:szCs w:val="24"/>
        </w:rPr>
        <w:t>Priekules novads aizņem 523 km</w:t>
      </w:r>
      <w:r w:rsidRPr="00890746">
        <w:rPr>
          <w:rFonts w:ascii="Times New Roman" w:hAnsi="Times New Roman" w:cs="Times New Roman"/>
          <w:sz w:val="24"/>
          <w:szCs w:val="24"/>
          <w:vertAlign w:val="superscript"/>
        </w:rPr>
        <w:t>2</w:t>
      </w:r>
      <w:r w:rsidRPr="00890746">
        <w:rPr>
          <w:rFonts w:ascii="Times New Roman" w:hAnsi="Times New Roman" w:cs="Times New Roman"/>
          <w:sz w:val="24"/>
          <w:szCs w:val="24"/>
        </w:rPr>
        <w:t xml:space="preserve"> zemes. Novadā iedzīvotāju skaits pēc Pilsonības un migrācijas lietu pārvaldes datiem uz 201</w:t>
      </w:r>
      <w:r w:rsidR="006D5559">
        <w:rPr>
          <w:rFonts w:ascii="Times New Roman" w:hAnsi="Times New Roman" w:cs="Times New Roman"/>
          <w:sz w:val="24"/>
          <w:szCs w:val="24"/>
        </w:rPr>
        <w:t>8</w:t>
      </w:r>
      <w:r w:rsidRPr="00890746">
        <w:rPr>
          <w:rFonts w:ascii="Times New Roman" w:hAnsi="Times New Roman" w:cs="Times New Roman"/>
          <w:sz w:val="24"/>
          <w:szCs w:val="24"/>
        </w:rPr>
        <w:t xml:space="preserve">. gada 1.janvāri </w:t>
      </w:r>
      <w:r w:rsidRPr="006179BD">
        <w:rPr>
          <w:rFonts w:ascii="Times New Roman" w:hAnsi="Times New Roman" w:cs="Times New Roman"/>
          <w:sz w:val="24"/>
          <w:szCs w:val="24"/>
        </w:rPr>
        <w:t>bija 5</w:t>
      </w:r>
      <w:r w:rsidR="00052B52" w:rsidRPr="006179BD">
        <w:rPr>
          <w:rFonts w:ascii="Times New Roman" w:hAnsi="Times New Roman" w:cs="Times New Roman"/>
          <w:sz w:val="24"/>
          <w:szCs w:val="24"/>
        </w:rPr>
        <w:t>336</w:t>
      </w:r>
      <w:r w:rsidRPr="00890746">
        <w:rPr>
          <w:rFonts w:ascii="Times New Roman" w:hAnsi="Times New Roman" w:cs="Times New Roman"/>
          <w:sz w:val="24"/>
          <w:szCs w:val="24"/>
        </w:rPr>
        <w:t xml:space="preserve"> iedzīvotāji. </w:t>
      </w:r>
    </w:p>
    <w:p w:rsidR="008757C7" w:rsidRPr="00890746" w:rsidRDefault="008757C7" w:rsidP="00890746">
      <w:pPr>
        <w:spacing w:after="0"/>
        <w:ind w:firstLine="720"/>
        <w:jc w:val="both"/>
        <w:rPr>
          <w:rFonts w:ascii="Times New Roman" w:hAnsi="Times New Roman" w:cs="Times New Roman"/>
          <w:sz w:val="24"/>
          <w:szCs w:val="24"/>
        </w:rPr>
      </w:pPr>
      <w:r w:rsidRPr="00890746">
        <w:rPr>
          <w:rFonts w:ascii="Times New Roman" w:hAnsi="Times New Roman" w:cs="Times New Roman"/>
          <w:sz w:val="24"/>
          <w:szCs w:val="24"/>
        </w:rPr>
        <w:t xml:space="preserve">2013. gada 25.jūlijā ar Priekules novada domes lēmumu tika apstiprināta Priekules novada ilgtspējīgas attīstības stratēģija līdz 2030. gadam un Priekules novada attīstības programma 2013.-2019. gadam. Dokumentos noteiktas pašvaldības attīstības prioritātes, mērķi, rīcības virzieni un sasniedzamie rezultatīvie rādītāji. </w:t>
      </w:r>
    </w:p>
    <w:p w:rsidR="008757C7" w:rsidRPr="00890746" w:rsidRDefault="008757C7" w:rsidP="00890746">
      <w:pPr>
        <w:spacing w:after="0"/>
        <w:ind w:firstLine="720"/>
        <w:jc w:val="both"/>
        <w:rPr>
          <w:rFonts w:ascii="Times New Roman" w:hAnsi="Times New Roman" w:cs="Times New Roman"/>
          <w:sz w:val="24"/>
          <w:szCs w:val="24"/>
        </w:rPr>
      </w:pPr>
      <w:r w:rsidRPr="00890746">
        <w:rPr>
          <w:rFonts w:ascii="Times New Roman" w:hAnsi="Times New Roman" w:cs="Times New Roman"/>
          <w:b/>
          <w:sz w:val="24"/>
          <w:szCs w:val="24"/>
        </w:rPr>
        <w:t>Ilgtermiņa prioritāte:</w:t>
      </w:r>
      <w:r w:rsidRPr="00890746">
        <w:rPr>
          <w:rFonts w:ascii="Times New Roman" w:hAnsi="Times New Roman" w:cs="Times New Roman"/>
          <w:sz w:val="24"/>
          <w:szCs w:val="24"/>
        </w:rPr>
        <w:t xml:space="preserve"> Pievilcīga un droša dzīves un darba vide, nodrošinot iespējas visiem novada iedzīvotājiem.</w:t>
      </w:r>
    </w:p>
    <w:p w:rsidR="008757C7" w:rsidRPr="00890746" w:rsidRDefault="008757C7" w:rsidP="00890746">
      <w:pPr>
        <w:spacing w:after="0"/>
        <w:ind w:firstLine="720"/>
        <w:jc w:val="both"/>
        <w:rPr>
          <w:rFonts w:ascii="Times New Roman" w:hAnsi="Times New Roman" w:cs="Times New Roman"/>
          <w:b/>
          <w:sz w:val="24"/>
          <w:szCs w:val="24"/>
        </w:rPr>
      </w:pPr>
      <w:r w:rsidRPr="00890746">
        <w:rPr>
          <w:rFonts w:ascii="Times New Roman" w:hAnsi="Times New Roman" w:cs="Times New Roman"/>
          <w:b/>
          <w:sz w:val="24"/>
          <w:szCs w:val="24"/>
        </w:rPr>
        <w:t xml:space="preserve">Vidēja termiņa prioritātes: </w:t>
      </w:r>
    </w:p>
    <w:p w:rsidR="008757C7" w:rsidRPr="00890746" w:rsidRDefault="008757C7" w:rsidP="00890746">
      <w:pPr>
        <w:pStyle w:val="Sarakstarindkopa"/>
        <w:numPr>
          <w:ilvl w:val="0"/>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Stimulēt un dažādot ekonomiku un attīstīt ražošanu.</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Attīstīta infrastruktūra uzņēmējdarbībai.</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Labvēlīga vide investīcijām.</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Līdzsvarota telpiskā struktūra, novada teritorijas ekonomiskajai attīstībai.</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Veselības aprūpes maksas pakalpojumu attīstība.</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Labvēlīga vide tūrisma attīstībai.</w:t>
      </w:r>
    </w:p>
    <w:p w:rsidR="008757C7" w:rsidRPr="00890746" w:rsidRDefault="008757C7" w:rsidP="00890746">
      <w:pPr>
        <w:pStyle w:val="Sarakstarindkopa"/>
        <w:numPr>
          <w:ilvl w:val="0"/>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Investēt cilvēkresursos un attīstīt inovāciju kultūru.</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Laba izglītība un konkurētspēja;</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Izglītoti, inovatīvi cilvēkresursi;</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Konkurētspējīgs darbaspēks, augsts nodarbinātības līmenis.</w:t>
      </w:r>
    </w:p>
    <w:p w:rsidR="008757C7" w:rsidRPr="00890746" w:rsidRDefault="008757C7" w:rsidP="00890746">
      <w:pPr>
        <w:pStyle w:val="Sarakstarindkopa"/>
        <w:numPr>
          <w:ilvl w:val="0"/>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Veidot augstas Kvalitātes dzīves vidi, saglabāt dabas vidi un sekmēt nomaļo teritoriju attīstību.</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Apdzīvoto vietu un lauku teritoriju dzīvotspēja.</w:t>
      </w:r>
    </w:p>
    <w:p w:rsidR="008757C7"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Ilgtspējīga, daudzveidīga dabas vide un resursi.</w:t>
      </w:r>
    </w:p>
    <w:p w:rsidR="00E610FA" w:rsidRPr="00890746" w:rsidRDefault="008757C7" w:rsidP="00890746">
      <w:pPr>
        <w:pStyle w:val="Sarakstarindkopa"/>
        <w:numPr>
          <w:ilvl w:val="1"/>
          <w:numId w:val="1"/>
        </w:numPr>
        <w:spacing w:after="0"/>
        <w:jc w:val="both"/>
        <w:rPr>
          <w:rFonts w:ascii="Times New Roman" w:hAnsi="Times New Roman" w:cs="Times New Roman"/>
          <w:sz w:val="24"/>
          <w:szCs w:val="24"/>
        </w:rPr>
      </w:pPr>
      <w:r w:rsidRPr="00890746">
        <w:rPr>
          <w:rFonts w:ascii="Times New Roman" w:hAnsi="Times New Roman" w:cs="Times New Roman"/>
          <w:sz w:val="24"/>
          <w:szCs w:val="24"/>
        </w:rPr>
        <w:t>Samazināt nomales negatīvo ietekmi un sekmēt teritorijas attīstības izlīdzināšanos, uzlabot sasniedzamību.</w:t>
      </w:r>
      <w:r w:rsidR="00E610FA" w:rsidRPr="00890746">
        <w:rPr>
          <w:rFonts w:ascii="Times New Roman" w:hAnsi="Times New Roman" w:cs="Times New Roman"/>
          <w:sz w:val="24"/>
          <w:szCs w:val="24"/>
        </w:rPr>
        <w:t xml:space="preserve"> </w:t>
      </w:r>
    </w:p>
    <w:p w:rsidR="008757C7" w:rsidRPr="00890746" w:rsidRDefault="00E610FA" w:rsidP="00890746">
      <w:pPr>
        <w:spacing w:after="0"/>
        <w:ind w:firstLine="720"/>
        <w:jc w:val="both"/>
        <w:rPr>
          <w:rFonts w:ascii="Times New Roman" w:hAnsi="Times New Roman" w:cs="Times New Roman"/>
          <w:sz w:val="24"/>
          <w:szCs w:val="24"/>
        </w:rPr>
      </w:pPr>
      <w:r w:rsidRPr="00890746">
        <w:rPr>
          <w:rFonts w:ascii="Times New Roman" w:hAnsi="Times New Roman" w:cs="Times New Roman"/>
          <w:sz w:val="24"/>
          <w:szCs w:val="24"/>
        </w:rPr>
        <w:t>Līdz ar dokumentu apstiprināšanu tika noteikts Priekules novada nākotnes redzējums līdz 2030. gadam: Priekules novads ir novads, kurā cilvēki grib dzīvot, strādāt, iesakņoties, laist pasaulē un skolot savus bērnus.</w:t>
      </w:r>
    </w:p>
    <w:p w:rsidR="00890746" w:rsidRPr="00890746" w:rsidRDefault="00890746" w:rsidP="00890746">
      <w:pPr>
        <w:spacing w:after="0"/>
        <w:ind w:firstLine="720"/>
        <w:jc w:val="both"/>
        <w:rPr>
          <w:rFonts w:ascii="Times New Roman" w:hAnsi="Times New Roman" w:cs="Times New Roman"/>
          <w:sz w:val="24"/>
          <w:szCs w:val="24"/>
        </w:rPr>
      </w:pPr>
      <w:r w:rsidRPr="00A85658">
        <w:rPr>
          <w:rFonts w:ascii="Times New Roman" w:hAnsi="Times New Roman" w:cs="Times New Roman"/>
          <w:sz w:val="24"/>
          <w:szCs w:val="24"/>
        </w:rPr>
        <w:t xml:space="preserve">Analizējot pašvaldības attīstības iespēju stiprās un vājās puses, iespējas un draudus, programmā izteikti secinājumi, ka svarīgākais, kas jānodrošina pašvaldībai, ir ilgtspējīga administratīvās teritorijas attīstība, efektīvi izmantojot konkurētspējīgo priekšrocību un </w:t>
      </w:r>
      <w:r w:rsidRPr="00A85658">
        <w:rPr>
          <w:rFonts w:ascii="Times New Roman" w:hAnsi="Times New Roman" w:cs="Times New Roman"/>
          <w:sz w:val="24"/>
          <w:szCs w:val="24"/>
        </w:rPr>
        <w:lastRenderedPageBreak/>
        <w:t>vienlaikus sabalansējot saimniecisko un ekonomisko attīstību ar sociālajām interesēm. Priekules novada pašvaldībai 201</w:t>
      </w:r>
      <w:r w:rsidR="00A85658">
        <w:rPr>
          <w:rFonts w:ascii="Times New Roman" w:hAnsi="Times New Roman" w:cs="Times New Roman"/>
          <w:sz w:val="24"/>
          <w:szCs w:val="24"/>
        </w:rPr>
        <w:t>8</w:t>
      </w:r>
      <w:r w:rsidRPr="00A85658">
        <w:rPr>
          <w:rFonts w:ascii="Times New Roman" w:hAnsi="Times New Roman" w:cs="Times New Roman"/>
          <w:sz w:val="24"/>
          <w:szCs w:val="24"/>
        </w:rPr>
        <w:t xml:space="preserve">.gadā un turpmāk būtiski ir nodrošināt novada attīstības un investīciju projektu ieviešanu un realizāciju, tādējādi uzlabojot dzīves vides kvalitāti novadā, ielu, ceļu, dzīvojamo teritoriju, izglītības iestāžu un citu iestāžu infrastruktūru. Lai tos sasniegtu, tiek ieguldīti gan pašvaldības budžeta līdzekļi, gan piesaistīts </w:t>
      </w:r>
      <w:r w:rsidRPr="00620D95">
        <w:rPr>
          <w:rFonts w:ascii="Times New Roman" w:hAnsi="Times New Roman" w:cs="Times New Roman"/>
          <w:sz w:val="24"/>
          <w:szCs w:val="24"/>
        </w:rPr>
        <w:t xml:space="preserve">Eiropas Savienības fondu finansējums, kura piešķiršana 2014. – 2020. gada plānošanas periodā notiks izmantojot Valsts noteikto specifisko atbalsta mērķu - SAM programmas. </w:t>
      </w:r>
      <w:r w:rsidR="00620D95" w:rsidRPr="00620D95">
        <w:rPr>
          <w:rFonts w:ascii="Times New Roman" w:hAnsi="Times New Roman" w:cs="Times New Roman"/>
          <w:sz w:val="24"/>
          <w:szCs w:val="24"/>
        </w:rPr>
        <w:t>2018. gadā tiks īstenoti divi projekti Latvijas-Lietuvas pārrobežu sadarbības programmas ietvaros</w:t>
      </w:r>
      <w:r w:rsidR="00620D95">
        <w:rPr>
          <w:rFonts w:ascii="Times New Roman" w:hAnsi="Times New Roman" w:cs="Times New Roman"/>
          <w:sz w:val="24"/>
          <w:szCs w:val="24"/>
        </w:rPr>
        <w:t xml:space="preserve">. </w:t>
      </w:r>
      <w:r w:rsidRPr="006D5559">
        <w:rPr>
          <w:rFonts w:ascii="Times New Roman" w:hAnsi="Times New Roman" w:cs="Times New Roman"/>
          <w:sz w:val="24"/>
          <w:szCs w:val="24"/>
        </w:rPr>
        <w:t>Jaunajā plānošanas periodā ES finansiāls atbalsts būs pieejams ceļu uzlabošanai lauku teritorijās. Pasākumā tiks atbalstīta pašvaldību grants ceļu (bez cietā seguma) būvniecība vai pārbūve. Plānots, ka programmas ietvaros tiks pārbūvēti 13 grants ceļi novada pagastos.</w:t>
      </w:r>
    </w:p>
    <w:p w:rsidR="00890746" w:rsidRPr="00890746" w:rsidRDefault="00890746" w:rsidP="00890746">
      <w:pPr>
        <w:spacing w:after="0"/>
        <w:ind w:firstLine="720"/>
        <w:jc w:val="both"/>
        <w:rPr>
          <w:rFonts w:ascii="Times New Roman" w:hAnsi="Times New Roman" w:cs="Times New Roman"/>
          <w:sz w:val="24"/>
          <w:szCs w:val="24"/>
        </w:rPr>
      </w:pPr>
      <w:r w:rsidRPr="00A85658">
        <w:rPr>
          <w:rFonts w:ascii="Times New Roman" w:hAnsi="Times New Roman" w:cs="Times New Roman"/>
          <w:sz w:val="24"/>
          <w:szCs w:val="24"/>
        </w:rPr>
        <w:t>Atbilstoši pašvaldības prioritātēm un Priekules novada attīstības programmas noteiktajiem attīstības virzieniem, 201</w:t>
      </w:r>
      <w:r w:rsidR="00A85658">
        <w:rPr>
          <w:rFonts w:ascii="Times New Roman" w:hAnsi="Times New Roman" w:cs="Times New Roman"/>
          <w:sz w:val="24"/>
          <w:szCs w:val="24"/>
        </w:rPr>
        <w:t>8</w:t>
      </w:r>
      <w:r w:rsidRPr="00A85658">
        <w:rPr>
          <w:rFonts w:ascii="Times New Roman" w:hAnsi="Times New Roman" w:cs="Times New Roman"/>
          <w:sz w:val="24"/>
          <w:szCs w:val="24"/>
        </w:rPr>
        <w:t>.gada un turpmākajos gados budžetā svarīgi nodrošināt finanšu līdzekļus sociālo vajadzību atbalstam maznodrošinātajai sabiedrības daļai, kvalitatīvas bērnudārza un skolu sistēmas nodrošināšanai, ēku sakārtošanai, ielu un ceļu uzturēšanai un uzlabošanai, nekust</w:t>
      </w:r>
      <w:r w:rsidR="00A85658">
        <w:rPr>
          <w:rFonts w:ascii="Times New Roman" w:hAnsi="Times New Roman" w:cs="Times New Roman"/>
          <w:sz w:val="24"/>
          <w:szCs w:val="24"/>
        </w:rPr>
        <w:t>a</w:t>
      </w:r>
      <w:r w:rsidRPr="00A85658">
        <w:rPr>
          <w:rFonts w:ascii="Times New Roman" w:hAnsi="Times New Roman" w:cs="Times New Roman"/>
          <w:sz w:val="24"/>
          <w:szCs w:val="24"/>
        </w:rPr>
        <w:t>mo īpašumu sakārtošanai</w:t>
      </w:r>
      <w:r w:rsidR="00A85658">
        <w:rPr>
          <w:rFonts w:ascii="Times New Roman" w:hAnsi="Times New Roman" w:cs="Times New Roman"/>
          <w:sz w:val="24"/>
          <w:szCs w:val="24"/>
        </w:rPr>
        <w:t>,</w:t>
      </w:r>
      <w:r w:rsidRPr="00A85658">
        <w:rPr>
          <w:rFonts w:ascii="Times New Roman" w:hAnsi="Times New Roman" w:cs="Times New Roman"/>
          <w:sz w:val="24"/>
          <w:szCs w:val="24"/>
        </w:rPr>
        <w:t xml:space="preserve"> tādējādi uzlabojot dzīves vides kvalitāti Priekules novadā. Priekules  novada pašvaldības 201</w:t>
      </w:r>
      <w:r w:rsidR="00A85658">
        <w:rPr>
          <w:rFonts w:ascii="Times New Roman" w:hAnsi="Times New Roman" w:cs="Times New Roman"/>
          <w:sz w:val="24"/>
          <w:szCs w:val="24"/>
        </w:rPr>
        <w:t>8</w:t>
      </w:r>
      <w:r w:rsidRPr="00A85658">
        <w:rPr>
          <w:rFonts w:ascii="Times New Roman" w:hAnsi="Times New Roman" w:cs="Times New Roman"/>
          <w:sz w:val="24"/>
          <w:szCs w:val="24"/>
        </w:rPr>
        <w:t>.gada budžeta prioritātes nemainīsies salīdzinājumā ar iepriekšējiem gadiem un tiks nodrošināti izdevumi izglītībai, sociālai aizsardzībai, kultūrai un sportam, veselībai.</w:t>
      </w:r>
    </w:p>
    <w:p w:rsidR="00D4620A" w:rsidRPr="00A85658" w:rsidRDefault="00D4620A" w:rsidP="00890746">
      <w:pPr>
        <w:spacing w:after="0"/>
        <w:ind w:firstLine="720"/>
        <w:jc w:val="both"/>
        <w:rPr>
          <w:rFonts w:ascii="Times New Roman" w:hAnsi="Times New Roman" w:cs="Times New Roman"/>
          <w:sz w:val="24"/>
          <w:szCs w:val="24"/>
        </w:rPr>
      </w:pPr>
      <w:r w:rsidRPr="00A85658">
        <w:rPr>
          <w:rFonts w:ascii="Times New Roman" w:hAnsi="Times New Roman" w:cs="Times New Roman"/>
          <w:sz w:val="24"/>
          <w:szCs w:val="24"/>
        </w:rPr>
        <w:t>Priekules novada pašvaldības 201</w:t>
      </w:r>
      <w:r w:rsidR="00A85658">
        <w:rPr>
          <w:rFonts w:ascii="Times New Roman" w:hAnsi="Times New Roman" w:cs="Times New Roman"/>
          <w:sz w:val="24"/>
          <w:szCs w:val="24"/>
        </w:rPr>
        <w:t>8</w:t>
      </w:r>
      <w:r w:rsidRPr="00A85658">
        <w:rPr>
          <w:rFonts w:ascii="Times New Roman" w:hAnsi="Times New Roman" w:cs="Times New Roman"/>
          <w:sz w:val="24"/>
          <w:szCs w:val="24"/>
        </w:rPr>
        <w:t>.gada budžets izstrādāts ņemot vērā 201</w:t>
      </w:r>
      <w:r w:rsidR="00A85658">
        <w:rPr>
          <w:rFonts w:ascii="Times New Roman" w:hAnsi="Times New Roman" w:cs="Times New Roman"/>
          <w:sz w:val="24"/>
          <w:szCs w:val="24"/>
        </w:rPr>
        <w:t>7</w:t>
      </w:r>
      <w:r w:rsidRPr="00A85658">
        <w:rPr>
          <w:rFonts w:ascii="Times New Roman" w:hAnsi="Times New Roman" w:cs="Times New Roman"/>
          <w:sz w:val="24"/>
          <w:szCs w:val="24"/>
        </w:rPr>
        <w:t>.gada izpildes un atbilstoši likuma „Par budžetu un finanšu vadību”, likuma „Par pašvaldību budžetiem”, likuma „Par pašvaldībām”, likuma „Valsts un pašvaldību amatpersonu un darbinieku atlīdzības likums” un citu likumu un normatīvo aktu prasībām, kā arī Priekules novada pašvaldības noteikumiem “Par Priekules novada pašvaldības budžeta izstrādāšanu, apstiprināšanu, izpildi un kontroli”.</w:t>
      </w:r>
    </w:p>
    <w:p w:rsidR="00D4620A" w:rsidRDefault="00D4620A" w:rsidP="00890746">
      <w:pPr>
        <w:spacing w:after="0"/>
        <w:ind w:firstLine="720"/>
        <w:jc w:val="center"/>
        <w:rPr>
          <w:rFonts w:ascii="Times New Roman" w:hAnsi="Times New Roman" w:cs="Times New Roman"/>
          <w:b/>
        </w:rPr>
      </w:pPr>
    </w:p>
    <w:p w:rsidR="00BB51F5" w:rsidRPr="00890746" w:rsidRDefault="00BB51F5" w:rsidP="00890746">
      <w:pPr>
        <w:spacing w:after="0"/>
        <w:ind w:firstLine="720"/>
        <w:jc w:val="center"/>
        <w:rPr>
          <w:rFonts w:ascii="Times New Roman" w:hAnsi="Times New Roman" w:cs="Times New Roman"/>
          <w:b/>
        </w:rPr>
      </w:pPr>
    </w:p>
    <w:p w:rsidR="008757C7" w:rsidRDefault="008757C7" w:rsidP="00890746">
      <w:pPr>
        <w:jc w:val="center"/>
        <w:rPr>
          <w:rFonts w:ascii="Times New Roman" w:hAnsi="Times New Roman" w:cs="Times New Roman"/>
          <w:b/>
          <w:sz w:val="24"/>
          <w:szCs w:val="24"/>
        </w:rPr>
      </w:pPr>
      <w:r w:rsidRPr="004C43DB">
        <w:rPr>
          <w:rFonts w:ascii="Times New Roman" w:hAnsi="Times New Roman" w:cs="Times New Roman"/>
          <w:b/>
          <w:sz w:val="24"/>
          <w:szCs w:val="24"/>
        </w:rPr>
        <w:t>Priekules novada pašvaldības 201</w:t>
      </w:r>
      <w:r w:rsidR="005D65DE">
        <w:rPr>
          <w:rFonts w:ascii="Times New Roman" w:hAnsi="Times New Roman" w:cs="Times New Roman"/>
          <w:b/>
          <w:sz w:val="24"/>
          <w:szCs w:val="24"/>
        </w:rPr>
        <w:t>8</w:t>
      </w:r>
      <w:r w:rsidRPr="004C43DB">
        <w:rPr>
          <w:rFonts w:ascii="Times New Roman" w:hAnsi="Times New Roman" w:cs="Times New Roman"/>
          <w:b/>
          <w:sz w:val="24"/>
          <w:szCs w:val="24"/>
        </w:rPr>
        <w:t>.</w:t>
      </w:r>
      <w:r w:rsidR="005D65DE">
        <w:rPr>
          <w:rFonts w:ascii="Times New Roman" w:hAnsi="Times New Roman" w:cs="Times New Roman"/>
          <w:b/>
          <w:sz w:val="24"/>
          <w:szCs w:val="24"/>
        </w:rPr>
        <w:t xml:space="preserve"> </w:t>
      </w:r>
      <w:r w:rsidRPr="004C43DB">
        <w:rPr>
          <w:rFonts w:ascii="Times New Roman" w:hAnsi="Times New Roman" w:cs="Times New Roman"/>
          <w:b/>
          <w:sz w:val="24"/>
          <w:szCs w:val="24"/>
        </w:rPr>
        <w:t>gada budžeta informācija.</w:t>
      </w:r>
    </w:p>
    <w:p w:rsidR="008757C7" w:rsidRPr="008757C7" w:rsidRDefault="008757C7" w:rsidP="006F778A">
      <w:pPr>
        <w:ind w:firstLine="720"/>
        <w:jc w:val="both"/>
        <w:rPr>
          <w:rFonts w:ascii="Times New Roman" w:hAnsi="Times New Roman" w:cs="Times New Roman"/>
          <w:sz w:val="24"/>
          <w:szCs w:val="24"/>
        </w:rPr>
      </w:pPr>
      <w:r w:rsidRPr="008757C7">
        <w:rPr>
          <w:rFonts w:ascii="Times New Roman" w:hAnsi="Times New Roman" w:cs="Times New Roman"/>
          <w:sz w:val="24"/>
          <w:szCs w:val="24"/>
        </w:rPr>
        <w:t>Budžets veidots atbilstoši Attīstības plānošanas dokumentos noteiktajām prioritātēm. Pašvaldības 201</w:t>
      </w:r>
      <w:r w:rsidR="00A85658">
        <w:rPr>
          <w:rFonts w:ascii="Times New Roman" w:hAnsi="Times New Roman" w:cs="Times New Roman"/>
          <w:sz w:val="24"/>
          <w:szCs w:val="24"/>
        </w:rPr>
        <w:t>8</w:t>
      </w:r>
      <w:r w:rsidRPr="008757C7">
        <w:rPr>
          <w:rFonts w:ascii="Times New Roman" w:hAnsi="Times New Roman" w:cs="Times New Roman"/>
          <w:sz w:val="24"/>
          <w:szCs w:val="24"/>
        </w:rPr>
        <w:t xml:space="preserve">.gada investīciju plāns </w:t>
      </w:r>
      <w:r w:rsidRPr="00282023">
        <w:rPr>
          <w:rFonts w:ascii="Times New Roman" w:hAnsi="Times New Roman" w:cs="Times New Roman"/>
          <w:sz w:val="24"/>
          <w:szCs w:val="24"/>
        </w:rPr>
        <w:t>(</w:t>
      </w:r>
      <w:r w:rsidR="003E32D5" w:rsidRPr="00282023">
        <w:rPr>
          <w:rFonts w:ascii="Times New Roman" w:hAnsi="Times New Roman" w:cs="Times New Roman"/>
          <w:sz w:val="24"/>
          <w:szCs w:val="24"/>
        </w:rPr>
        <w:t>saistošo noteikumu</w:t>
      </w:r>
      <w:r w:rsidRPr="00282023">
        <w:rPr>
          <w:rFonts w:ascii="Times New Roman" w:hAnsi="Times New Roman" w:cs="Times New Roman"/>
          <w:sz w:val="24"/>
          <w:szCs w:val="24"/>
        </w:rPr>
        <w:t xml:space="preserve"> 4.pielikums)</w:t>
      </w:r>
      <w:r w:rsidRPr="008757C7">
        <w:rPr>
          <w:rFonts w:ascii="Times New Roman" w:hAnsi="Times New Roman" w:cs="Times New Roman"/>
          <w:sz w:val="24"/>
          <w:szCs w:val="24"/>
        </w:rPr>
        <w:t xml:space="preserve"> ietver attīstības plānošanas dokumentos paredzētās aktivitātes. Investīciju plāna īstenošanā plānots ieguldīt </w:t>
      </w:r>
      <w:r w:rsidR="004217AC" w:rsidRPr="00F42FE2">
        <w:rPr>
          <w:rFonts w:ascii="Times New Roman" w:hAnsi="Times New Roman" w:cs="Times New Roman"/>
          <w:sz w:val="24"/>
          <w:szCs w:val="24"/>
        </w:rPr>
        <w:t>2 758 653</w:t>
      </w:r>
      <w:r w:rsidR="00282023" w:rsidRPr="004217AC">
        <w:rPr>
          <w:rFonts w:ascii="Times New Roman" w:hAnsi="Times New Roman" w:cs="Times New Roman"/>
          <w:sz w:val="24"/>
          <w:szCs w:val="24"/>
        </w:rPr>
        <w:t xml:space="preserve"> EUR</w:t>
      </w:r>
      <w:r w:rsidRPr="004217AC">
        <w:rPr>
          <w:rFonts w:ascii="Times New Roman" w:hAnsi="Times New Roman" w:cs="Times New Roman"/>
          <w:sz w:val="24"/>
          <w:szCs w:val="24"/>
        </w:rPr>
        <w:t>,</w:t>
      </w:r>
      <w:r w:rsidR="006F778A">
        <w:rPr>
          <w:rFonts w:ascii="Times New Roman" w:hAnsi="Times New Roman" w:cs="Times New Roman"/>
          <w:sz w:val="24"/>
          <w:szCs w:val="24"/>
        </w:rPr>
        <w:t xml:space="preserve"> izmantojot pašu</w:t>
      </w:r>
      <w:r w:rsidR="00282023">
        <w:rPr>
          <w:rFonts w:ascii="Times New Roman" w:hAnsi="Times New Roman" w:cs="Times New Roman"/>
          <w:sz w:val="24"/>
          <w:szCs w:val="24"/>
        </w:rPr>
        <w:t xml:space="preserve"> un ES fondu</w:t>
      </w:r>
      <w:r w:rsidR="006F778A">
        <w:rPr>
          <w:rFonts w:ascii="Times New Roman" w:hAnsi="Times New Roman" w:cs="Times New Roman"/>
          <w:sz w:val="24"/>
          <w:szCs w:val="24"/>
        </w:rPr>
        <w:t xml:space="preserve"> līdzekļus,</w:t>
      </w:r>
      <w:r w:rsidRPr="008757C7">
        <w:rPr>
          <w:rFonts w:ascii="Times New Roman" w:hAnsi="Times New Roman" w:cs="Times New Roman"/>
          <w:sz w:val="24"/>
          <w:szCs w:val="24"/>
        </w:rPr>
        <w:t xml:space="preserve"> kā arī piesaist</w:t>
      </w:r>
      <w:r w:rsidR="006F778A">
        <w:rPr>
          <w:rFonts w:ascii="Times New Roman" w:hAnsi="Times New Roman" w:cs="Times New Roman"/>
          <w:sz w:val="24"/>
          <w:szCs w:val="24"/>
        </w:rPr>
        <w:t>o</w:t>
      </w:r>
      <w:r w:rsidRPr="008757C7">
        <w:rPr>
          <w:rFonts w:ascii="Times New Roman" w:hAnsi="Times New Roman" w:cs="Times New Roman"/>
          <w:sz w:val="24"/>
          <w:szCs w:val="24"/>
        </w:rPr>
        <w:t xml:space="preserve">t kredītresursus. Sākotnējā budžeta redakcijā aizņēmumu apjoms plānots </w:t>
      </w:r>
      <w:r w:rsidR="004217AC" w:rsidRPr="004217AC">
        <w:rPr>
          <w:rFonts w:ascii="Times New Roman" w:hAnsi="Times New Roman" w:cs="Times New Roman"/>
          <w:sz w:val="24"/>
          <w:szCs w:val="24"/>
        </w:rPr>
        <w:t>850 797</w:t>
      </w:r>
      <w:r w:rsidR="006F778A" w:rsidRPr="004217AC">
        <w:rPr>
          <w:rFonts w:ascii="Times New Roman" w:hAnsi="Times New Roman" w:cs="Times New Roman"/>
          <w:sz w:val="24"/>
          <w:szCs w:val="24"/>
        </w:rPr>
        <w:t xml:space="preserve"> </w:t>
      </w:r>
      <w:r w:rsidRPr="004217AC">
        <w:rPr>
          <w:rFonts w:ascii="Times New Roman" w:hAnsi="Times New Roman" w:cs="Times New Roman"/>
          <w:sz w:val="24"/>
          <w:szCs w:val="24"/>
        </w:rPr>
        <w:t>EUR.</w:t>
      </w:r>
      <w:r w:rsidRPr="008757C7">
        <w:rPr>
          <w:rFonts w:ascii="Times New Roman" w:hAnsi="Times New Roman" w:cs="Times New Roman"/>
          <w:sz w:val="24"/>
          <w:szCs w:val="24"/>
        </w:rPr>
        <w:t xml:space="preserve"> Ievērojot to, ka paredzēts īstenot </w:t>
      </w:r>
      <w:r w:rsidR="004217AC">
        <w:rPr>
          <w:rFonts w:ascii="Times New Roman" w:hAnsi="Times New Roman" w:cs="Times New Roman"/>
          <w:sz w:val="24"/>
          <w:szCs w:val="24"/>
        </w:rPr>
        <w:t>apjomīgus</w:t>
      </w:r>
      <w:r w:rsidR="004217AC" w:rsidRPr="008757C7">
        <w:rPr>
          <w:rFonts w:ascii="Times New Roman" w:hAnsi="Times New Roman" w:cs="Times New Roman"/>
          <w:sz w:val="24"/>
          <w:szCs w:val="24"/>
        </w:rPr>
        <w:t xml:space="preserve"> </w:t>
      </w:r>
      <w:r w:rsidRPr="008757C7">
        <w:rPr>
          <w:rFonts w:ascii="Times New Roman" w:hAnsi="Times New Roman" w:cs="Times New Roman"/>
          <w:sz w:val="24"/>
          <w:szCs w:val="24"/>
        </w:rPr>
        <w:t>kanalizācijas</w:t>
      </w:r>
      <w:r w:rsidR="004217AC">
        <w:rPr>
          <w:rFonts w:ascii="Times New Roman" w:hAnsi="Times New Roman" w:cs="Times New Roman"/>
          <w:sz w:val="24"/>
          <w:szCs w:val="24"/>
        </w:rPr>
        <w:t xml:space="preserve">, </w:t>
      </w:r>
      <w:r w:rsidRPr="008757C7">
        <w:rPr>
          <w:rFonts w:ascii="Times New Roman" w:hAnsi="Times New Roman" w:cs="Times New Roman"/>
          <w:sz w:val="24"/>
          <w:szCs w:val="24"/>
        </w:rPr>
        <w:t>ielu un ceļu investīciju projektus, paredzams, ka aizņē</w:t>
      </w:r>
      <w:r w:rsidR="006F778A">
        <w:rPr>
          <w:rFonts w:ascii="Times New Roman" w:hAnsi="Times New Roman" w:cs="Times New Roman"/>
          <w:sz w:val="24"/>
          <w:szCs w:val="24"/>
        </w:rPr>
        <w:t>mumu apjoms pieaugs</w:t>
      </w:r>
      <w:r w:rsidRPr="008757C7">
        <w:rPr>
          <w:rFonts w:ascii="Times New Roman" w:hAnsi="Times New Roman" w:cs="Times New Roman"/>
          <w:sz w:val="24"/>
          <w:szCs w:val="24"/>
        </w:rPr>
        <w:t xml:space="preserve">. Atbilstoši iepirkumu rezultātā noteiktajiem  būvdarbu, preču vai pakalpojumu un attiecīgi aizņēmumu apjomiem, tiks veikti grozījumi pašvaldības budžetā. </w:t>
      </w:r>
    </w:p>
    <w:p w:rsidR="008757C7" w:rsidRDefault="008757C7" w:rsidP="006F778A">
      <w:pPr>
        <w:ind w:firstLine="720"/>
        <w:jc w:val="both"/>
        <w:rPr>
          <w:rFonts w:ascii="Times New Roman" w:hAnsi="Times New Roman" w:cs="Times New Roman"/>
          <w:sz w:val="24"/>
          <w:szCs w:val="24"/>
        </w:rPr>
      </w:pPr>
      <w:r w:rsidRPr="008757C7">
        <w:rPr>
          <w:rFonts w:ascii="Times New Roman" w:hAnsi="Times New Roman" w:cs="Times New Roman"/>
          <w:sz w:val="24"/>
          <w:szCs w:val="24"/>
        </w:rPr>
        <w:t>Priekules novada pašvaldības budžets sastāv no pamatbudžeta un speciālā budžeta un ziedojumu un dāvinājumu budžeta.</w:t>
      </w:r>
    </w:p>
    <w:p w:rsidR="00BB51F5" w:rsidRDefault="00BB51F5" w:rsidP="006F778A">
      <w:pPr>
        <w:ind w:firstLine="720"/>
        <w:jc w:val="both"/>
        <w:rPr>
          <w:rFonts w:ascii="Times New Roman" w:hAnsi="Times New Roman" w:cs="Times New Roman"/>
          <w:sz w:val="24"/>
          <w:szCs w:val="24"/>
        </w:rPr>
      </w:pPr>
    </w:p>
    <w:p w:rsidR="00BB51F5" w:rsidRDefault="00BB51F5" w:rsidP="006F778A">
      <w:pPr>
        <w:ind w:firstLine="720"/>
        <w:jc w:val="both"/>
        <w:rPr>
          <w:rFonts w:ascii="Times New Roman" w:hAnsi="Times New Roman" w:cs="Times New Roman"/>
          <w:sz w:val="24"/>
          <w:szCs w:val="24"/>
        </w:rPr>
      </w:pPr>
    </w:p>
    <w:p w:rsidR="00BB51F5" w:rsidRDefault="00BB51F5" w:rsidP="006F778A">
      <w:pPr>
        <w:ind w:firstLine="720"/>
        <w:jc w:val="both"/>
        <w:rPr>
          <w:rFonts w:ascii="Times New Roman" w:hAnsi="Times New Roman" w:cs="Times New Roman"/>
          <w:sz w:val="24"/>
          <w:szCs w:val="24"/>
        </w:rPr>
      </w:pPr>
    </w:p>
    <w:tbl>
      <w:tblPr>
        <w:tblW w:w="8804" w:type="dxa"/>
        <w:tblInd w:w="93" w:type="dxa"/>
        <w:tblLook w:val="04A0" w:firstRow="1" w:lastRow="0" w:firstColumn="1" w:lastColumn="0" w:noHBand="0" w:noVBand="1"/>
      </w:tblPr>
      <w:tblGrid>
        <w:gridCol w:w="4268"/>
        <w:gridCol w:w="1417"/>
        <w:gridCol w:w="1560"/>
        <w:gridCol w:w="1559"/>
      </w:tblGrid>
      <w:tr w:rsidR="0029794C" w:rsidRPr="0029794C" w:rsidTr="0029794C">
        <w:trPr>
          <w:trHeight w:val="300"/>
        </w:trPr>
        <w:tc>
          <w:tcPr>
            <w:tcW w:w="8804" w:type="dxa"/>
            <w:gridSpan w:val="4"/>
            <w:tcBorders>
              <w:top w:val="nil"/>
              <w:left w:val="nil"/>
              <w:bottom w:val="nil"/>
              <w:right w:val="nil"/>
            </w:tcBorders>
            <w:shd w:val="clear" w:color="auto" w:fill="auto"/>
            <w:noWrap/>
            <w:vAlign w:val="center"/>
            <w:hideMark/>
          </w:tcPr>
          <w:p w:rsidR="00890746" w:rsidRDefault="00890746" w:rsidP="0029794C">
            <w:pPr>
              <w:spacing w:after="0" w:line="240" w:lineRule="auto"/>
              <w:jc w:val="center"/>
              <w:rPr>
                <w:rFonts w:ascii="Times New Roman" w:eastAsia="Times New Roman" w:hAnsi="Times New Roman" w:cs="Times New Roman"/>
                <w:b/>
                <w:bCs/>
                <w:color w:val="000000"/>
                <w:lang w:eastAsia="lv-LV"/>
              </w:rPr>
            </w:pPr>
          </w:p>
          <w:p w:rsidR="00890746" w:rsidRDefault="00890746" w:rsidP="0029794C">
            <w:pPr>
              <w:spacing w:after="0" w:line="240" w:lineRule="auto"/>
              <w:jc w:val="center"/>
              <w:rPr>
                <w:rFonts w:ascii="Times New Roman" w:eastAsia="Times New Roman" w:hAnsi="Times New Roman" w:cs="Times New Roman"/>
                <w:b/>
                <w:bCs/>
                <w:color w:val="000000"/>
                <w:lang w:eastAsia="lv-LV"/>
              </w:rPr>
            </w:pPr>
          </w:p>
          <w:p w:rsidR="00890746" w:rsidRDefault="00890746" w:rsidP="0029794C">
            <w:pPr>
              <w:spacing w:after="0" w:line="240" w:lineRule="auto"/>
              <w:jc w:val="center"/>
              <w:rPr>
                <w:rFonts w:ascii="Times New Roman" w:eastAsia="Times New Roman" w:hAnsi="Times New Roman" w:cs="Times New Roman"/>
                <w:b/>
                <w:bCs/>
                <w:color w:val="000000"/>
                <w:lang w:eastAsia="lv-LV"/>
              </w:rPr>
            </w:pPr>
          </w:p>
          <w:p w:rsidR="0029794C" w:rsidRPr="005D65DE" w:rsidRDefault="0029794C" w:rsidP="0029794C">
            <w:pPr>
              <w:spacing w:after="0" w:line="240" w:lineRule="auto"/>
              <w:jc w:val="center"/>
              <w:rPr>
                <w:rFonts w:ascii="Times New Roman" w:eastAsia="Times New Roman" w:hAnsi="Times New Roman" w:cs="Times New Roman"/>
                <w:b/>
                <w:bCs/>
                <w:color w:val="000000"/>
                <w:sz w:val="28"/>
                <w:szCs w:val="28"/>
                <w:lang w:eastAsia="lv-LV"/>
              </w:rPr>
            </w:pPr>
            <w:r w:rsidRPr="005D65DE">
              <w:rPr>
                <w:rFonts w:ascii="Times New Roman" w:eastAsia="Times New Roman" w:hAnsi="Times New Roman" w:cs="Times New Roman"/>
                <w:b/>
                <w:bCs/>
                <w:color w:val="000000"/>
                <w:sz w:val="28"/>
                <w:szCs w:val="28"/>
                <w:lang w:eastAsia="lv-LV"/>
              </w:rPr>
              <w:t>Pašvaldības budžets</w:t>
            </w:r>
          </w:p>
        </w:tc>
      </w:tr>
      <w:tr w:rsidR="0029794C" w:rsidRPr="0029794C" w:rsidTr="0029794C">
        <w:trPr>
          <w:trHeight w:val="300"/>
        </w:trPr>
        <w:tc>
          <w:tcPr>
            <w:tcW w:w="4268" w:type="dxa"/>
            <w:tcBorders>
              <w:top w:val="nil"/>
              <w:left w:val="nil"/>
              <w:bottom w:val="nil"/>
              <w:right w:val="nil"/>
            </w:tcBorders>
            <w:shd w:val="clear" w:color="auto" w:fill="auto"/>
            <w:noWrap/>
            <w:vAlign w:val="center"/>
            <w:hideMark/>
          </w:tcPr>
          <w:p w:rsidR="0029794C" w:rsidRPr="0029794C" w:rsidRDefault="0029794C" w:rsidP="0029794C">
            <w:pPr>
              <w:spacing w:after="0" w:line="240" w:lineRule="auto"/>
              <w:jc w:val="center"/>
              <w:rPr>
                <w:rFonts w:ascii="Times New Roman" w:eastAsia="Times New Roman" w:hAnsi="Times New Roman" w:cs="Times New Roman"/>
                <w:b/>
                <w:bCs/>
                <w:color w:val="000000"/>
                <w:lang w:eastAsia="lv-LV"/>
              </w:rPr>
            </w:pPr>
          </w:p>
        </w:tc>
        <w:tc>
          <w:tcPr>
            <w:tcW w:w="1417" w:type="dxa"/>
            <w:tcBorders>
              <w:top w:val="nil"/>
              <w:left w:val="nil"/>
              <w:bottom w:val="nil"/>
              <w:right w:val="nil"/>
            </w:tcBorders>
            <w:shd w:val="clear" w:color="auto" w:fill="auto"/>
            <w:noWrap/>
            <w:vAlign w:val="bottom"/>
            <w:hideMark/>
          </w:tcPr>
          <w:p w:rsidR="0029794C" w:rsidRPr="0029794C" w:rsidRDefault="0029794C" w:rsidP="0029794C">
            <w:pPr>
              <w:spacing w:after="0" w:line="240" w:lineRule="auto"/>
              <w:rPr>
                <w:rFonts w:ascii="Calibri" w:eastAsia="Times New Roman" w:hAnsi="Calibri" w:cs="Calibri"/>
                <w:color w:val="000000"/>
                <w:lang w:eastAsia="lv-LV"/>
              </w:rPr>
            </w:pPr>
          </w:p>
        </w:tc>
        <w:tc>
          <w:tcPr>
            <w:tcW w:w="1560" w:type="dxa"/>
            <w:tcBorders>
              <w:top w:val="nil"/>
              <w:left w:val="nil"/>
              <w:bottom w:val="nil"/>
              <w:right w:val="nil"/>
            </w:tcBorders>
            <w:shd w:val="clear" w:color="auto" w:fill="auto"/>
            <w:noWrap/>
            <w:vAlign w:val="bottom"/>
            <w:hideMark/>
          </w:tcPr>
          <w:p w:rsidR="0029794C" w:rsidRPr="0029794C" w:rsidRDefault="0029794C" w:rsidP="0029794C">
            <w:pPr>
              <w:spacing w:after="0" w:line="240" w:lineRule="auto"/>
              <w:rPr>
                <w:rFonts w:ascii="Calibri" w:eastAsia="Times New Roman" w:hAnsi="Calibri" w:cs="Calibri"/>
                <w:color w:val="000000"/>
                <w:lang w:eastAsia="lv-LV"/>
              </w:rPr>
            </w:pPr>
          </w:p>
        </w:tc>
        <w:tc>
          <w:tcPr>
            <w:tcW w:w="1559" w:type="dxa"/>
            <w:tcBorders>
              <w:top w:val="nil"/>
              <w:left w:val="nil"/>
              <w:bottom w:val="nil"/>
              <w:right w:val="nil"/>
            </w:tcBorders>
            <w:shd w:val="clear" w:color="auto" w:fill="auto"/>
            <w:noWrap/>
            <w:vAlign w:val="bottom"/>
            <w:hideMark/>
          </w:tcPr>
          <w:p w:rsidR="0029794C" w:rsidRPr="0029794C" w:rsidRDefault="0029794C" w:rsidP="0029794C">
            <w:pPr>
              <w:spacing w:after="0" w:line="240" w:lineRule="auto"/>
              <w:rPr>
                <w:rFonts w:ascii="Calibri" w:eastAsia="Times New Roman" w:hAnsi="Calibri" w:cs="Calibri"/>
                <w:color w:val="000000"/>
                <w:lang w:eastAsia="lv-LV"/>
              </w:rPr>
            </w:pPr>
          </w:p>
        </w:tc>
      </w:tr>
      <w:tr w:rsidR="001A4016" w:rsidRPr="0029794C" w:rsidTr="005D65DE">
        <w:trPr>
          <w:trHeight w:val="570"/>
        </w:trPr>
        <w:tc>
          <w:tcPr>
            <w:tcW w:w="426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1A4016" w:rsidRPr="0029794C" w:rsidRDefault="001A4016" w:rsidP="001A4016">
            <w:pPr>
              <w:spacing w:after="0" w:line="240" w:lineRule="auto"/>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 </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4016" w:rsidRPr="0029794C" w:rsidRDefault="001A4016" w:rsidP="001A4016">
            <w:pPr>
              <w:spacing w:after="0" w:line="240" w:lineRule="auto"/>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2016.gada izpilde EUR</w:t>
            </w:r>
          </w:p>
        </w:tc>
        <w:tc>
          <w:tcPr>
            <w:tcW w:w="15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A4016" w:rsidRPr="0029794C" w:rsidRDefault="001A4016" w:rsidP="001A4016">
            <w:pPr>
              <w:spacing w:after="0" w:line="240" w:lineRule="auto"/>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201</w:t>
            </w:r>
            <w:r>
              <w:rPr>
                <w:rFonts w:ascii="Times New Roman" w:eastAsia="Times New Roman" w:hAnsi="Times New Roman" w:cs="Times New Roman"/>
                <w:b/>
                <w:bCs/>
                <w:color w:val="000000"/>
                <w:lang w:eastAsia="lv-LV"/>
              </w:rPr>
              <w:t>7</w:t>
            </w:r>
            <w:r w:rsidRPr="0029794C">
              <w:rPr>
                <w:rFonts w:ascii="Times New Roman" w:eastAsia="Times New Roman" w:hAnsi="Times New Roman" w:cs="Times New Roman"/>
                <w:b/>
                <w:bCs/>
                <w:color w:val="000000"/>
                <w:lang w:eastAsia="lv-LV"/>
              </w:rPr>
              <w:t>.gada izpilde EUR</w:t>
            </w:r>
          </w:p>
        </w:tc>
        <w:tc>
          <w:tcPr>
            <w:tcW w:w="1559"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1A4016" w:rsidRPr="0029794C" w:rsidRDefault="001A4016" w:rsidP="001A4016">
            <w:pPr>
              <w:spacing w:after="0" w:line="240" w:lineRule="auto"/>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201</w:t>
            </w:r>
            <w:r w:rsidR="00D73EB0">
              <w:rPr>
                <w:rFonts w:ascii="Times New Roman" w:eastAsia="Times New Roman" w:hAnsi="Times New Roman" w:cs="Times New Roman"/>
                <w:b/>
                <w:bCs/>
                <w:color w:val="000000"/>
                <w:lang w:eastAsia="lv-LV"/>
              </w:rPr>
              <w:t>8</w:t>
            </w:r>
            <w:r w:rsidRPr="0029794C">
              <w:rPr>
                <w:rFonts w:ascii="Times New Roman" w:eastAsia="Times New Roman" w:hAnsi="Times New Roman" w:cs="Times New Roman"/>
                <w:b/>
                <w:bCs/>
                <w:color w:val="000000"/>
                <w:lang w:eastAsia="lv-LV"/>
              </w:rPr>
              <w:t>.gada plāns EUR</w:t>
            </w:r>
          </w:p>
        </w:tc>
      </w:tr>
      <w:tr w:rsidR="001A4016" w:rsidRPr="0029794C" w:rsidTr="0029794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1A4016" w:rsidRPr="0029794C" w:rsidRDefault="001A4016" w:rsidP="001A4016">
            <w:pPr>
              <w:spacing w:after="0" w:line="240" w:lineRule="auto"/>
              <w:jc w:val="center"/>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IEŅĒMUMI</w:t>
            </w:r>
          </w:p>
        </w:tc>
        <w:tc>
          <w:tcPr>
            <w:tcW w:w="1417" w:type="dxa"/>
            <w:tcBorders>
              <w:top w:val="nil"/>
              <w:left w:val="nil"/>
              <w:bottom w:val="single" w:sz="4" w:space="0" w:color="auto"/>
              <w:right w:val="single" w:sz="4" w:space="0" w:color="auto"/>
            </w:tcBorders>
            <w:shd w:val="clear" w:color="auto" w:fill="auto"/>
            <w:noWrap/>
            <w:vAlign w:val="center"/>
            <w:hideMark/>
          </w:tcPr>
          <w:p w:rsidR="001A4016" w:rsidRPr="0029794C" w:rsidRDefault="001A4016" w:rsidP="001A4016">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 </w:t>
            </w:r>
          </w:p>
        </w:tc>
        <w:tc>
          <w:tcPr>
            <w:tcW w:w="1560" w:type="dxa"/>
            <w:tcBorders>
              <w:top w:val="nil"/>
              <w:left w:val="nil"/>
              <w:bottom w:val="single" w:sz="4" w:space="0" w:color="auto"/>
              <w:right w:val="single" w:sz="4" w:space="0" w:color="auto"/>
            </w:tcBorders>
            <w:shd w:val="clear" w:color="auto" w:fill="auto"/>
            <w:vAlign w:val="center"/>
            <w:hideMark/>
          </w:tcPr>
          <w:p w:rsidR="001A4016" w:rsidRPr="0029794C" w:rsidRDefault="001A4016" w:rsidP="001A4016">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rsidR="001A4016" w:rsidRPr="0029794C" w:rsidRDefault="001A4016" w:rsidP="001A4016">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 </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Pamatbudžeta ieņēmumi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6 054 146</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6 647 887</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7 677 371</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Speciālā budžeta ieņēmumi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301 114</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291 974</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298 616</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Ziedojumi un dāvinājumi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4 283</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3 969</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0</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Līdzekļu atlikums uz gada sākumu pamatbudžetā</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709 114</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528 343</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512 873</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Līdzekļu atlikums uz gada sākumu speciālajā budžetā</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158 724</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170 623</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195 276</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Līdzekļu atlikums uz gada sākumu Ziedojumi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7 932</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1 783</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2 197</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Kredītlīdzekļu piesaiste</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300 035</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846 479</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850 797</w:t>
            </w:r>
          </w:p>
        </w:tc>
      </w:tr>
      <w:tr w:rsidR="004217AC" w:rsidRPr="0029794C" w:rsidTr="0029794C">
        <w:trPr>
          <w:trHeight w:val="300"/>
        </w:trPr>
        <w:tc>
          <w:tcPr>
            <w:tcW w:w="4268" w:type="dxa"/>
            <w:tcBorders>
              <w:top w:val="nil"/>
              <w:left w:val="single" w:sz="4" w:space="0" w:color="auto"/>
              <w:bottom w:val="single" w:sz="4" w:space="0" w:color="auto"/>
              <w:right w:val="single" w:sz="4" w:space="0" w:color="auto"/>
            </w:tcBorders>
            <w:shd w:val="clear" w:color="000000" w:fill="C4D79B"/>
            <w:noWrap/>
            <w:vAlign w:val="center"/>
            <w:hideMark/>
          </w:tcPr>
          <w:p w:rsidR="004217AC" w:rsidRPr="0029794C" w:rsidRDefault="004217AC" w:rsidP="004217AC">
            <w:pPr>
              <w:spacing w:after="0" w:line="240" w:lineRule="auto"/>
              <w:jc w:val="right"/>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Kopā</w:t>
            </w:r>
          </w:p>
        </w:tc>
        <w:tc>
          <w:tcPr>
            <w:tcW w:w="1417" w:type="dxa"/>
            <w:tcBorders>
              <w:top w:val="nil"/>
              <w:left w:val="nil"/>
              <w:bottom w:val="single" w:sz="4" w:space="0" w:color="auto"/>
              <w:right w:val="single" w:sz="4" w:space="0" w:color="auto"/>
            </w:tcBorders>
            <w:shd w:val="clear" w:color="000000" w:fill="C4D79B"/>
            <w:noWrap/>
            <w:vAlign w:val="center"/>
            <w:hideMark/>
          </w:tcPr>
          <w:p w:rsidR="004217AC" w:rsidRPr="0029794C" w:rsidRDefault="004217AC" w:rsidP="004217AC">
            <w:pPr>
              <w:spacing w:after="0" w:line="240" w:lineRule="auto"/>
              <w:jc w:val="right"/>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7 535 348</w:t>
            </w:r>
          </w:p>
        </w:tc>
        <w:tc>
          <w:tcPr>
            <w:tcW w:w="1560" w:type="dxa"/>
            <w:tcBorders>
              <w:top w:val="nil"/>
              <w:left w:val="nil"/>
              <w:bottom w:val="single" w:sz="4" w:space="0" w:color="auto"/>
              <w:right w:val="single" w:sz="4" w:space="0" w:color="auto"/>
            </w:tcBorders>
            <w:shd w:val="clear" w:color="000000" w:fill="C4D79B"/>
            <w:noWrap/>
            <w:vAlign w:val="center"/>
            <w:hideMark/>
          </w:tcPr>
          <w:p w:rsidR="004217AC" w:rsidRPr="004217AC" w:rsidRDefault="004217AC" w:rsidP="004217AC">
            <w:pPr>
              <w:spacing w:after="0" w:line="240" w:lineRule="auto"/>
              <w:jc w:val="right"/>
              <w:rPr>
                <w:rFonts w:ascii="Times New Roman" w:eastAsia="Times New Roman" w:hAnsi="Times New Roman" w:cs="Times New Roman"/>
                <w:b/>
                <w:bCs/>
                <w:color w:val="000000"/>
                <w:lang w:eastAsia="lv-LV"/>
              </w:rPr>
            </w:pPr>
            <w:r w:rsidRPr="004217AC">
              <w:rPr>
                <w:rFonts w:ascii="Times New Roman" w:eastAsia="Times New Roman" w:hAnsi="Times New Roman" w:cs="Times New Roman"/>
                <w:b/>
                <w:bCs/>
                <w:color w:val="000000"/>
                <w:lang w:eastAsia="lv-LV"/>
              </w:rPr>
              <w:t>8 491 058</w:t>
            </w:r>
          </w:p>
        </w:tc>
        <w:tc>
          <w:tcPr>
            <w:tcW w:w="1559" w:type="dxa"/>
            <w:tcBorders>
              <w:top w:val="nil"/>
              <w:left w:val="nil"/>
              <w:bottom w:val="single" w:sz="4" w:space="0" w:color="auto"/>
              <w:right w:val="single" w:sz="4" w:space="0" w:color="auto"/>
            </w:tcBorders>
            <w:shd w:val="clear" w:color="000000" w:fill="C4D79B"/>
            <w:noWrap/>
            <w:vAlign w:val="center"/>
            <w:hideMark/>
          </w:tcPr>
          <w:p w:rsidR="004217AC" w:rsidRPr="004217AC" w:rsidRDefault="004217AC" w:rsidP="004217AC">
            <w:pPr>
              <w:spacing w:after="0" w:line="240" w:lineRule="auto"/>
              <w:jc w:val="right"/>
              <w:rPr>
                <w:rFonts w:ascii="Times New Roman" w:eastAsia="Times New Roman" w:hAnsi="Times New Roman" w:cs="Times New Roman"/>
                <w:b/>
                <w:bCs/>
                <w:lang w:eastAsia="lv-LV"/>
              </w:rPr>
            </w:pPr>
            <w:r w:rsidRPr="004217AC">
              <w:rPr>
                <w:rFonts w:ascii="Times New Roman" w:eastAsia="Times New Roman" w:hAnsi="Times New Roman" w:cs="Times New Roman"/>
                <w:b/>
                <w:bCs/>
                <w:lang w:eastAsia="lv-LV"/>
              </w:rPr>
              <w:t>9 537 130</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center"/>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IZDEVUMI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 </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 </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 </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Pamatbudžeta izdevumi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6 298 224</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7 224 985</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8 715 929</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Speciālā budžeta izdevumi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289 215</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267 322</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493 892</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Ziedojumu un dāvinājumu izdevumi</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10 432</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3 555</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2 197</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Aizdevumu atmaksa</w:t>
            </w:r>
          </w:p>
        </w:tc>
        <w:tc>
          <w:tcPr>
            <w:tcW w:w="1417" w:type="dxa"/>
            <w:tcBorders>
              <w:top w:val="nil"/>
              <w:left w:val="nil"/>
              <w:bottom w:val="single" w:sz="4" w:space="0" w:color="auto"/>
              <w:right w:val="single" w:sz="4" w:space="0" w:color="auto"/>
            </w:tcBorders>
            <w:shd w:val="clear" w:color="auto" w:fill="auto"/>
            <w:noWrap/>
            <w:vAlign w:val="bottom"/>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236 728</w:t>
            </w:r>
          </w:p>
        </w:tc>
        <w:tc>
          <w:tcPr>
            <w:tcW w:w="1560" w:type="dxa"/>
            <w:tcBorders>
              <w:top w:val="nil"/>
              <w:left w:val="nil"/>
              <w:bottom w:val="nil"/>
              <w:right w:val="nil"/>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284 850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325 112</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bCs/>
                <w:color w:val="000000"/>
                <w:lang w:eastAsia="lv-LV"/>
              </w:rPr>
              <w:t>Līdzekļu atlikums uz gada beigām pamatbudžetā</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528 343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512 873</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0</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bCs/>
                <w:color w:val="000000"/>
                <w:lang w:eastAsia="lv-LV"/>
              </w:rPr>
              <w:t>Līdzekļu atlikums uz gada beigām speciālajā budžetā</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170 623</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195 276</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0</w:t>
            </w:r>
          </w:p>
        </w:tc>
      </w:tr>
      <w:tr w:rsidR="004217AC" w:rsidRPr="0029794C" w:rsidTr="004217AC">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rPr>
                <w:rFonts w:ascii="Times New Roman" w:eastAsia="Times New Roman" w:hAnsi="Times New Roman" w:cs="Times New Roman"/>
                <w:color w:val="000000"/>
                <w:lang w:eastAsia="lv-LV"/>
              </w:rPr>
            </w:pPr>
            <w:r w:rsidRPr="0029794C">
              <w:rPr>
                <w:rFonts w:ascii="Times New Roman" w:eastAsia="Times New Roman" w:hAnsi="Times New Roman" w:cs="Times New Roman"/>
                <w:bCs/>
                <w:color w:val="000000"/>
                <w:lang w:eastAsia="lv-LV"/>
              </w:rPr>
              <w:t xml:space="preserve">Līdzekļu atlikums uz gada beigām Ziedojumi un dāvinājumi </w:t>
            </w:r>
          </w:p>
        </w:tc>
        <w:tc>
          <w:tcPr>
            <w:tcW w:w="1417" w:type="dxa"/>
            <w:tcBorders>
              <w:top w:val="nil"/>
              <w:left w:val="nil"/>
              <w:bottom w:val="single" w:sz="4" w:space="0" w:color="auto"/>
              <w:right w:val="single" w:sz="4" w:space="0" w:color="auto"/>
            </w:tcBorders>
            <w:shd w:val="clear" w:color="auto" w:fill="auto"/>
            <w:noWrap/>
            <w:vAlign w:val="center"/>
            <w:hideMark/>
          </w:tcPr>
          <w:p w:rsidR="004217AC" w:rsidRPr="0029794C" w:rsidRDefault="004217AC" w:rsidP="004217AC">
            <w:pPr>
              <w:spacing w:after="0" w:line="240" w:lineRule="auto"/>
              <w:jc w:val="right"/>
              <w:rPr>
                <w:rFonts w:ascii="Times New Roman" w:eastAsia="Times New Roman" w:hAnsi="Times New Roman" w:cs="Times New Roman"/>
                <w:color w:val="000000"/>
                <w:lang w:eastAsia="lv-LV"/>
              </w:rPr>
            </w:pPr>
            <w:r w:rsidRPr="0029794C">
              <w:rPr>
                <w:rFonts w:ascii="Times New Roman" w:eastAsia="Times New Roman" w:hAnsi="Times New Roman" w:cs="Times New Roman"/>
                <w:color w:val="000000"/>
                <w:lang w:eastAsia="lv-LV"/>
              </w:rPr>
              <w:t>1 783</w:t>
            </w:r>
          </w:p>
        </w:tc>
        <w:tc>
          <w:tcPr>
            <w:tcW w:w="1560" w:type="dxa"/>
            <w:tcBorders>
              <w:top w:val="nil"/>
              <w:left w:val="nil"/>
              <w:bottom w:val="single" w:sz="4" w:space="0" w:color="auto"/>
              <w:right w:val="single" w:sz="4" w:space="0" w:color="auto"/>
            </w:tcBorders>
            <w:shd w:val="clear" w:color="auto" w:fill="auto"/>
            <w:vAlign w:val="center"/>
            <w:hideMark/>
          </w:tcPr>
          <w:p w:rsidR="004217AC" w:rsidRPr="004217AC" w:rsidRDefault="004217AC" w:rsidP="004217AC">
            <w:pPr>
              <w:spacing w:after="0" w:line="240" w:lineRule="auto"/>
              <w:jc w:val="right"/>
              <w:rPr>
                <w:rFonts w:ascii="Times New Roman" w:eastAsia="Times New Roman" w:hAnsi="Times New Roman" w:cs="Times New Roman"/>
                <w:color w:val="000000"/>
                <w:lang w:eastAsia="lv-LV"/>
              </w:rPr>
            </w:pPr>
            <w:r w:rsidRPr="004217AC">
              <w:rPr>
                <w:rFonts w:ascii="Times New Roman" w:eastAsia="Times New Roman" w:hAnsi="Times New Roman" w:cs="Times New Roman"/>
                <w:color w:val="000000"/>
                <w:lang w:eastAsia="lv-LV"/>
              </w:rPr>
              <w:t>2 197</w:t>
            </w:r>
          </w:p>
        </w:tc>
        <w:tc>
          <w:tcPr>
            <w:tcW w:w="1559" w:type="dxa"/>
            <w:tcBorders>
              <w:top w:val="nil"/>
              <w:left w:val="nil"/>
              <w:bottom w:val="single" w:sz="4" w:space="0" w:color="auto"/>
              <w:right w:val="single" w:sz="4" w:space="0" w:color="auto"/>
            </w:tcBorders>
            <w:shd w:val="clear" w:color="auto" w:fill="auto"/>
            <w:noWrap/>
            <w:vAlign w:val="center"/>
            <w:hideMark/>
          </w:tcPr>
          <w:p w:rsidR="004217AC" w:rsidRPr="004217AC" w:rsidRDefault="004217AC" w:rsidP="004217AC">
            <w:pPr>
              <w:spacing w:after="0" w:line="240" w:lineRule="auto"/>
              <w:jc w:val="right"/>
              <w:rPr>
                <w:rFonts w:ascii="Times New Roman" w:eastAsia="Times New Roman" w:hAnsi="Times New Roman" w:cs="Times New Roman"/>
                <w:lang w:eastAsia="lv-LV"/>
              </w:rPr>
            </w:pPr>
            <w:r w:rsidRPr="004217AC">
              <w:rPr>
                <w:rFonts w:ascii="Times New Roman" w:eastAsia="Times New Roman" w:hAnsi="Times New Roman" w:cs="Times New Roman"/>
                <w:lang w:eastAsia="lv-LV"/>
              </w:rPr>
              <w:t>0</w:t>
            </w:r>
          </w:p>
        </w:tc>
      </w:tr>
      <w:tr w:rsidR="004217AC" w:rsidRPr="0029794C" w:rsidTr="0029794C">
        <w:trPr>
          <w:trHeight w:val="300"/>
        </w:trPr>
        <w:tc>
          <w:tcPr>
            <w:tcW w:w="4268" w:type="dxa"/>
            <w:tcBorders>
              <w:top w:val="nil"/>
              <w:left w:val="single" w:sz="4" w:space="0" w:color="auto"/>
              <w:bottom w:val="single" w:sz="4" w:space="0" w:color="auto"/>
              <w:right w:val="single" w:sz="4" w:space="0" w:color="auto"/>
            </w:tcBorders>
            <w:shd w:val="clear" w:color="000000" w:fill="C4D79B"/>
            <w:noWrap/>
            <w:vAlign w:val="center"/>
            <w:hideMark/>
          </w:tcPr>
          <w:p w:rsidR="004217AC" w:rsidRPr="0029794C" w:rsidRDefault="004217AC" w:rsidP="004217AC">
            <w:pPr>
              <w:spacing w:after="0" w:line="240" w:lineRule="auto"/>
              <w:jc w:val="right"/>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Kopā </w:t>
            </w:r>
          </w:p>
        </w:tc>
        <w:tc>
          <w:tcPr>
            <w:tcW w:w="1417" w:type="dxa"/>
            <w:tcBorders>
              <w:top w:val="nil"/>
              <w:left w:val="nil"/>
              <w:bottom w:val="single" w:sz="4" w:space="0" w:color="auto"/>
              <w:right w:val="single" w:sz="4" w:space="0" w:color="auto"/>
            </w:tcBorders>
            <w:shd w:val="clear" w:color="000000" w:fill="C4D79B"/>
            <w:noWrap/>
            <w:vAlign w:val="center"/>
            <w:hideMark/>
          </w:tcPr>
          <w:p w:rsidR="004217AC" w:rsidRPr="0029794C" w:rsidRDefault="004217AC" w:rsidP="004217AC">
            <w:pPr>
              <w:spacing w:after="0" w:line="240" w:lineRule="auto"/>
              <w:jc w:val="right"/>
              <w:rPr>
                <w:rFonts w:ascii="Times New Roman" w:eastAsia="Times New Roman" w:hAnsi="Times New Roman" w:cs="Times New Roman"/>
                <w:b/>
                <w:bCs/>
                <w:color w:val="000000"/>
                <w:lang w:eastAsia="lv-LV"/>
              </w:rPr>
            </w:pPr>
            <w:r w:rsidRPr="0029794C">
              <w:rPr>
                <w:rFonts w:ascii="Times New Roman" w:eastAsia="Times New Roman" w:hAnsi="Times New Roman" w:cs="Times New Roman"/>
                <w:b/>
                <w:bCs/>
                <w:color w:val="000000"/>
                <w:lang w:eastAsia="lv-LV"/>
              </w:rPr>
              <w:t>7 535 348</w:t>
            </w:r>
          </w:p>
        </w:tc>
        <w:tc>
          <w:tcPr>
            <w:tcW w:w="1560" w:type="dxa"/>
            <w:tcBorders>
              <w:top w:val="nil"/>
              <w:left w:val="nil"/>
              <w:bottom w:val="single" w:sz="4" w:space="0" w:color="auto"/>
              <w:right w:val="single" w:sz="4" w:space="0" w:color="auto"/>
            </w:tcBorders>
            <w:shd w:val="clear" w:color="000000" w:fill="C4D79B"/>
            <w:noWrap/>
            <w:vAlign w:val="center"/>
            <w:hideMark/>
          </w:tcPr>
          <w:p w:rsidR="004217AC" w:rsidRPr="004217AC" w:rsidRDefault="004217AC" w:rsidP="004217AC">
            <w:pPr>
              <w:spacing w:after="0" w:line="240" w:lineRule="auto"/>
              <w:jc w:val="right"/>
              <w:rPr>
                <w:rFonts w:ascii="Times New Roman" w:eastAsia="Times New Roman" w:hAnsi="Times New Roman" w:cs="Times New Roman"/>
                <w:b/>
                <w:bCs/>
                <w:color w:val="000000"/>
                <w:lang w:eastAsia="lv-LV"/>
              </w:rPr>
            </w:pPr>
            <w:r w:rsidRPr="004217AC">
              <w:rPr>
                <w:rFonts w:ascii="Times New Roman" w:eastAsia="Times New Roman" w:hAnsi="Times New Roman" w:cs="Times New Roman"/>
                <w:b/>
                <w:bCs/>
                <w:color w:val="000000"/>
                <w:lang w:eastAsia="lv-LV"/>
              </w:rPr>
              <w:t>8 491 058</w:t>
            </w:r>
          </w:p>
        </w:tc>
        <w:tc>
          <w:tcPr>
            <w:tcW w:w="1559" w:type="dxa"/>
            <w:tcBorders>
              <w:top w:val="nil"/>
              <w:left w:val="nil"/>
              <w:bottom w:val="single" w:sz="4" w:space="0" w:color="auto"/>
              <w:right w:val="single" w:sz="4" w:space="0" w:color="auto"/>
            </w:tcBorders>
            <w:shd w:val="clear" w:color="000000" w:fill="C4D79B"/>
            <w:noWrap/>
            <w:vAlign w:val="center"/>
            <w:hideMark/>
          </w:tcPr>
          <w:p w:rsidR="004217AC" w:rsidRPr="004217AC" w:rsidRDefault="004217AC" w:rsidP="004217AC">
            <w:pPr>
              <w:spacing w:after="0" w:line="240" w:lineRule="auto"/>
              <w:jc w:val="right"/>
              <w:rPr>
                <w:rFonts w:ascii="Times New Roman" w:eastAsia="Times New Roman" w:hAnsi="Times New Roman" w:cs="Times New Roman"/>
                <w:b/>
                <w:bCs/>
                <w:lang w:eastAsia="lv-LV"/>
              </w:rPr>
            </w:pPr>
            <w:r w:rsidRPr="004217AC">
              <w:rPr>
                <w:rFonts w:ascii="Times New Roman" w:eastAsia="Times New Roman" w:hAnsi="Times New Roman" w:cs="Times New Roman"/>
                <w:b/>
                <w:bCs/>
                <w:lang w:eastAsia="lv-LV"/>
              </w:rPr>
              <w:t>9 537 130</w:t>
            </w:r>
          </w:p>
        </w:tc>
      </w:tr>
    </w:tbl>
    <w:p w:rsidR="0029794C" w:rsidRDefault="0029794C" w:rsidP="008757C7">
      <w:pPr>
        <w:jc w:val="both"/>
        <w:rPr>
          <w:rFonts w:ascii="Times New Roman" w:hAnsi="Times New Roman" w:cs="Times New Roman"/>
          <w:sz w:val="24"/>
          <w:szCs w:val="24"/>
        </w:rPr>
      </w:pPr>
    </w:p>
    <w:p w:rsidR="006F778A" w:rsidRPr="001935F7" w:rsidRDefault="006F778A" w:rsidP="00AC681A">
      <w:pPr>
        <w:spacing w:after="0"/>
        <w:ind w:firstLine="720"/>
        <w:jc w:val="both"/>
        <w:rPr>
          <w:rFonts w:ascii="Times New Roman" w:hAnsi="Times New Roman" w:cs="Times New Roman"/>
          <w:sz w:val="24"/>
          <w:szCs w:val="24"/>
        </w:rPr>
      </w:pPr>
      <w:r w:rsidRPr="001935F7">
        <w:rPr>
          <w:rFonts w:ascii="Times New Roman" w:hAnsi="Times New Roman" w:cs="Times New Roman"/>
          <w:sz w:val="24"/>
          <w:szCs w:val="24"/>
        </w:rPr>
        <w:t>201</w:t>
      </w:r>
      <w:r w:rsidR="00A85658" w:rsidRPr="001935F7">
        <w:rPr>
          <w:rFonts w:ascii="Times New Roman" w:hAnsi="Times New Roman" w:cs="Times New Roman"/>
          <w:sz w:val="24"/>
          <w:szCs w:val="24"/>
        </w:rPr>
        <w:t>8</w:t>
      </w:r>
      <w:r w:rsidRPr="001935F7">
        <w:rPr>
          <w:rFonts w:ascii="Times New Roman" w:hAnsi="Times New Roman" w:cs="Times New Roman"/>
          <w:sz w:val="24"/>
          <w:szCs w:val="24"/>
        </w:rPr>
        <w:t>.gada plānā mērķdotācijas izglītībai plānotas tikai līdz 31.08.201</w:t>
      </w:r>
      <w:r w:rsidR="00A85658" w:rsidRPr="001935F7">
        <w:rPr>
          <w:rFonts w:ascii="Times New Roman" w:hAnsi="Times New Roman" w:cs="Times New Roman"/>
          <w:sz w:val="24"/>
          <w:szCs w:val="24"/>
        </w:rPr>
        <w:t>8</w:t>
      </w:r>
      <w:r w:rsidRPr="001935F7">
        <w:rPr>
          <w:rFonts w:ascii="Times New Roman" w:hAnsi="Times New Roman" w:cs="Times New Roman"/>
          <w:sz w:val="24"/>
          <w:szCs w:val="24"/>
        </w:rPr>
        <w:t>.</w:t>
      </w:r>
    </w:p>
    <w:p w:rsidR="008757C7" w:rsidRPr="008757C7" w:rsidRDefault="008757C7" w:rsidP="001B51F2">
      <w:pPr>
        <w:spacing w:after="0"/>
        <w:ind w:firstLine="720"/>
        <w:jc w:val="both"/>
        <w:rPr>
          <w:rFonts w:ascii="Times New Roman" w:hAnsi="Times New Roman" w:cs="Times New Roman"/>
          <w:sz w:val="24"/>
          <w:szCs w:val="24"/>
        </w:rPr>
      </w:pPr>
      <w:r w:rsidRPr="00C73CBF">
        <w:rPr>
          <w:rFonts w:ascii="Times New Roman" w:hAnsi="Times New Roman" w:cs="Times New Roman"/>
          <w:sz w:val="24"/>
          <w:szCs w:val="24"/>
        </w:rPr>
        <w:t>Priekules novada pašvaldības pamatbudžeta ieņēmumi 201</w:t>
      </w:r>
      <w:r w:rsidR="00A85658" w:rsidRPr="00C73CBF">
        <w:rPr>
          <w:rFonts w:ascii="Times New Roman" w:hAnsi="Times New Roman" w:cs="Times New Roman"/>
          <w:sz w:val="24"/>
          <w:szCs w:val="24"/>
        </w:rPr>
        <w:t>8</w:t>
      </w:r>
      <w:r w:rsidRPr="00C73CBF">
        <w:rPr>
          <w:rFonts w:ascii="Times New Roman" w:hAnsi="Times New Roman" w:cs="Times New Roman"/>
          <w:sz w:val="24"/>
          <w:szCs w:val="24"/>
        </w:rPr>
        <w:t xml:space="preserve">. gadā plānoti </w:t>
      </w:r>
      <w:r w:rsidR="00A85658" w:rsidRPr="00C73CBF">
        <w:rPr>
          <w:rFonts w:ascii="Times New Roman" w:eastAsia="Times New Roman" w:hAnsi="Times New Roman" w:cs="Times New Roman"/>
          <w:color w:val="000000"/>
          <w:sz w:val="24"/>
          <w:szCs w:val="24"/>
          <w:lang w:eastAsia="lv-LV"/>
        </w:rPr>
        <w:t>7 6</w:t>
      </w:r>
      <w:r w:rsidR="00C73CBF" w:rsidRPr="00C73CBF">
        <w:rPr>
          <w:rFonts w:ascii="Times New Roman" w:eastAsia="Times New Roman" w:hAnsi="Times New Roman" w:cs="Times New Roman"/>
          <w:color w:val="000000"/>
          <w:sz w:val="24"/>
          <w:szCs w:val="24"/>
          <w:lang w:eastAsia="lv-LV"/>
        </w:rPr>
        <w:t>77</w:t>
      </w:r>
      <w:r w:rsidR="00A85658" w:rsidRPr="00C73CBF">
        <w:rPr>
          <w:rFonts w:ascii="Times New Roman" w:eastAsia="Times New Roman" w:hAnsi="Times New Roman" w:cs="Times New Roman"/>
          <w:color w:val="000000"/>
          <w:sz w:val="24"/>
          <w:szCs w:val="24"/>
          <w:lang w:eastAsia="lv-LV"/>
        </w:rPr>
        <w:t> </w:t>
      </w:r>
      <w:r w:rsidR="00C73CBF" w:rsidRPr="00C73CBF">
        <w:rPr>
          <w:rFonts w:ascii="Times New Roman" w:eastAsia="Times New Roman" w:hAnsi="Times New Roman" w:cs="Times New Roman"/>
          <w:color w:val="000000"/>
          <w:sz w:val="24"/>
          <w:szCs w:val="24"/>
          <w:lang w:eastAsia="lv-LV"/>
        </w:rPr>
        <w:t>371</w:t>
      </w:r>
      <w:r w:rsidR="00A85658" w:rsidRPr="00C73CBF">
        <w:rPr>
          <w:rFonts w:ascii="Times New Roman" w:eastAsia="Times New Roman" w:hAnsi="Times New Roman" w:cs="Times New Roman"/>
          <w:color w:val="000000"/>
          <w:sz w:val="24"/>
          <w:szCs w:val="24"/>
          <w:lang w:eastAsia="lv-LV"/>
        </w:rPr>
        <w:t xml:space="preserve"> </w:t>
      </w:r>
      <w:r w:rsidRPr="00C73CBF">
        <w:rPr>
          <w:rFonts w:ascii="Times New Roman" w:hAnsi="Times New Roman" w:cs="Times New Roman"/>
          <w:sz w:val="24"/>
          <w:szCs w:val="24"/>
        </w:rPr>
        <w:t xml:space="preserve">EUR, budžeta līdzekļu atlikums gada sākumā </w:t>
      </w:r>
      <w:r w:rsidR="00A85658" w:rsidRPr="00C73CBF">
        <w:rPr>
          <w:rFonts w:ascii="Times New Roman" w:hAnsi="Times New Roman" w:cs="Times New Roman"/>
          <w:sz w:val="24"/>
          <w:szCs w:val="24"/>
        </w:rPr>
        <w:t>5</w:t>
      </w:r>
      <w:r w:rsidR="00A85658" w:rsidRPr="00C73CBF">
        <w:rPr>
          <w:rFonts w:ascii="Times New Roman" w:eastAsia="Times New Roman" w:hAnsi="Times New Roman" w:cs="Times New Roman"/>
          <w:color w:val="000000"/>
          <w:sz w:val="24"/>
          <w:szCs w:val="24"/>
          <w:lang w:eastAsia="lv-LV"/>
        </w:rPr>
        <w:t>12 783</w:t>
      </w:r>
      <w:r w:rsidR="003C1D32" w:rsidRPr="00C73CBF">
        <w:rPr>
          <w:rFonts w:ascii="Times New Roman" w:eastAsia="Times New Roman" w:hAnsi="Times New Roman" w:cs="Times New Roman"/>
          <w:color w:val="000000"/>
          <w:sz w:val="24"/>
          <w:szCs w:val="24"/>
          <w:lang w:eastAsia="lv-LV"/>
        </w:rPr>
        <w:t xml:space="preserve"> </w:t>
      </w:r>
      <w:r w:rsidRPr="00C73CBF">
        <w:rPr>
          <w:rFonts w:ascii="Times New Roman" w:hAnsi="Times New Roman" w:cs="Times New Roman"/>
          <w:sz w:val="24"/>
          <w:szCs w:val="24"/>
        </w:rPr>
        <w:t xml:space="preserve">EUR un aizņēmumu līdzekļi </w:t>
      </w:r>
      <w:r w:rsidR="00C73CBF" w:rsidRPr="00C73CBF">
        <w:rPr>
          <w:rFonts w:ascii="Times New Roman" w:hAnsi="Times New Roman" w:cs="Times New Roman"/>
          <w:sz w:val="24"/>
          <w:szCs w:val="24"/>
        </w:rPr>
        <w:t>850 797</w:t>
      </w:r>
      <w:r w:rsidR="003C1D32" w:rsidRPr="00C73CBF">
        <w:rPr>
          <w:rFonts w:ascii="Times New Roman" w:hAnsi="Times New Roman" w:cs="Times New Roman"/>
          <w:sz w:val="24"/>
          <w:szCs w:val="24"/>
        </w:rPr>
        <w:t xml:space="preserve"> </w:t>
      </w:r>
      <w:r w:rsidRPr="00C73CBF">
        <w:rPr>
          <w:rFonts w:ascii="Times New Roman" w:hAnsi="Times New Roman" w:cs="Times New Roman"/>
          <w:sz w:val="24"/>
          <w:szCs w:val="24"/>
        </w:rPr>
        <w:t xml:space="preserve"> EUR. Kopā finanšu resursi izdevumu segšanai sastāda </w:t>
      </w:r>
      <w:r w:rsidR="00C73CBF" w:rsidRPr="00C73CBF">
        <w:rPr>
          <w:rFonts w:ascii="Times New Roman" w:hAnsi="Times New Roman" w:cs="Times New Roman"/>
          <w:sz w:val="24"/>
          <w:szCs w:val="24"/>
        </w:rPr>
        <w:t>9 537 130</w:t>
      </w:r>
      <w:r w:rsidR="003C1D32" w:rsidRPr="00C73CBF">
        <w:rPr>
          <w:rFonts w:ascii="Times New Roman" w:hAnsi="Times New Roman" w:cs="Times New Roman"/>
          <w:sz w:val="24"/>
          <w:szCs w:val="24"/>
        </w:rPr>
        <w:t xml:space="preserve"> </w:t>
      </w:r>
      <w:r w:rsidRPr="00C73CBF">
        <w:rPr>
          <w:rFonts w:ascii="Times New Roman" w:hAnsi="Times New Roman" w:cs="Times New Roman"/>
          <w:sz w:val="24"/>
          <w:szCs w:val="24"/>
        </w:rPr>
        <w:t xml:space="preserve">EUR. Pamatbudžeta izdevumi plānoti </w:t>
      </w:r>
      <w:r w:rsidR="00C73CBF" w:rsidRPr="00C73CBF">
        <w:rPr>
          <w:rFonts w:ascii="Times New Roman" w:eastAsia="Times New Roman" w:hAnsi="Times New Roman" w:cs="Times New Roman"/>
          <w:color w:val="000000"/>
          <w:sz w:val="24"/>
          <w:szCs w:val="24"/>
          <w:lang w:eastAsia="lv-LV"/>
        </w:rPr>
        <w:t>8 715 929</w:t>
      </w:r>
      <w:r w:rsidR="003C1D32" w:rsidRPr="00C73CBF">
        <w:rPr>
          <w:rFonts w:ascii="Times New Roman" w:eastAsia="Times New Roman" w:hAnsi="Times New Roman" w:cs="Times New Roman"/>
          <w:color w:val="000000"/>
          <w:sz w:val="24"/>
          <w:szCs w:val="24"/>
          <w:lang w:eastAsia="lv-LV"/>
        </w:rPr>
        <w:t xml:space="preserve"> </w:t>
      </w:r>
      <w:r w:rsidRPr="00C73CBF">
        <w:rPr>
          <w:rFonts w:ascii="Times New Roman" w:hAnsi="Times New Roman" w:cs="Times New Roman"/>
          <w:sz w:val="24"/>
          <w:szCs w:val="24"/>
        </w:rPr>
        <w:t xml:space="preserve">EUR apmērā, aizņēmumu pamatsummas atmaksa </w:t>
      </w:r>
      <w:r w:rsidR="003C1D32" w:rsidRPr="00C73CBF">
        <w:rPr>
          <w:rFonts w:ascii="Times New Roman" w:hAnsi="Times New Roman" w:cs="Times New Roman"/>
          <w:sz w:val="24"/>
          <w:szCs w:val="24"/>
        </w:rPr>
        <w:t>–</w:t>
      </w:r>
      <w:r w:rsidRPr="00C73CBF">
        <w:rPr>
          <w:rFonts w:ascii="Times New Roman" w:hAnsi="Times New Roman" w:cs="Times New Roman"/>
          <w:sz w:val="24"/>
          <w:szCs w:val="24"/>
        </w:rPr>
        <w:t xml:space="preserve"> </w:t>
      </w:r>
      <w:r w:rsidR="001935F7" w:rsidRPr="00C73CBF">
        <w:rPr>
          <w:rFonts w:ascii="Times New Roman" w:hAnsi="Times New Roman" w:cs="Times New Roman"/>
          <w:sz w:val="24"/>
          <w:szCs w:val="24"/>
        </w:rPr>
        <w:t>325 112</w:t>
      </w:r>
      <w:r w:rsidRPr="00C73CBF">
        <w:rPr>
          <w:rFonts w:ascii="Times New Roman" w:hAnsi="Times New Roman" w:cs="Times New Roman"/>
          <w:sz w:val="24"/>
          <w:szCs w:val="24"/>
        </w:rPr>
        <w:t xml:space="preserve"> EUR.</w:t>
      </w:r>
      <w:r w:rsidRPr="008757C7">
        <w:rPr>
          <w:rFonts w:ascii="Times New Roman" w:hAnsi="Times New Roman" w:cs="Times New Roman"/>
          <w:sz w:val="24"/>
          <w:szCs w:val="24"/>
        </w:rPr>
        <w:t xml:space="preserve"> </w:t>
      </w:r>
    </w:p>
    <w:p w:rsidR="008757C7" w:rsidRPr="008757C7" w:rsidRDefault="00664457" w:rsidP="001B51F2">
      <w:pPr>
        <w:spacing w:after="0"/>
        <w:ind w:firstLine="720"/>
        <w:jc w:val="both"/>
        <w:rPr>
          <w:rFonts w:ascii="Times New Roman" w:hAnsi="Times New Roman" w:cs="Times New Roman"/>
          <w:sz w:val="24"/>
          <w:szCs w:val="24"/>
        </w:rPr>
      </w:pPr>
      <w:bookmarkStart w:id="0" w:name="_Hlk504565992"/>
      <w:r>
        <w:rPr>
          <w:rFonts w:ascii="Times New Roman" w:hAnsi="Times New Roman" w:cs="Times New Roman"/>
          <w:sz w:val="24"/>
          <w:szCs w:val="24"/>
        </w:rPr>
        <w:t>Speciālā budžeta līdzekļu atlikuma gada sākumā</w:t>
      </w:r>
      <w:r w:rsidRPr="008757C7">
        <w:rPr>
          <w:rFonts w:ascii="Times New Roman" w:hAnsi="Times New Roman" w:cs="Times New Roman"/>
          <w:sz w:val="24"/>
          <w:szCs w:val="24"/>
        </w:rPr>
        <w:t xml:space="preserve"> </w:t>
      </w:r>
      <w:r>
        <w:rPr>
          <w:rFonts w:ascii="Times New Roman" w:hAnsi="Times New Roman" w:cs="Times New Roman"/>
          <w:sz w:val="24"/>
          <w:szCs w:val="24"/>
        </w:rPr>
        <w:t>195 276</w:t>
      </w:r>
      <w:r w:rsidRPr="008757C7">
        <w:rPr>
          <w:rFonts w:ascii="Times New Roman" w:hAnsi="Times New Roman" w:cs="Times New Roman"/>
          <w:sz w:val="24"/>
          <w:szCs w:val="24"/>
        </w:rPr>
        <w:t xml:space="preserve"> EUR</w:t>
      </w:r>
      <w:r>
        <w:rPr>
          <w:rFonts w:ascii="Times New Roman" w:hAnsi="Times New Roman" w:cs="Times New Roman"/>
          <w:sz w:val="24"/>
          <w:szCs w:val="24"/>
        </w:rPr>
        <w:t xml:space="preserve">, </w:t>
      </w:r>
      <w:r w:rsidR="008757C7" w:rsidRPr="008757C7">
        <w:rPr>
          <w:rFonts w:ascii="Times New Roman" w:hAnsi="Times New Roman" w:cs="Times New Roman"/>
          <w:sz w:val="24"/>
          <w:szCs w:val="24"/>
        </w:rPr>
        <w:t xml:space="preserve">ieņēmumi plānoti </w:t>
      </w:r>
      <w:r w:rsidR="001935F7">
        <w:rPr>
          <w:rFonts w:ascii="Times New Roman" w:hAnsi="Times New Roman" w:cs="Times New Roman"/>
          <w:sz w:val="24"/>
          <w:szCs w:val="24"/>
        </w:rPr>
        <w:t>298 616</w:t>
      </w:r>
      <w:r w:rsidR="008757C7" w:rsidRPr="008757C7">
        <w:rPr>
          <w:rFonts w:ascii="Times New Roman" w:hAnsi="Times New Roman" w:cs="Times New Roman"/>
          <w:sz w:val="24"/>
          <w:szCs w:val="24"/>
        </w:rPr>
        <w:t xml:space="preserve"> EUR, no kuriem </w:t>
      </w:r>
      <w:r w:rsidR="001935F7">
        <w:rPr>
          <w:rFonts w:ascii="Times New Roman" w:hAnsi="Times New Roman" w:cs="Times New Roman"/>
          <w:sz w:val="24"/>
          <w:szCs w:val="24"/>
        </w:rPr>
        <w:t>45 000</w:t>
      </w:r>
      <w:r w:rsidR="003C1D32">
        <w:rPr>
          <w:rFonts w:ascii="Times New Roman" w:hAnsi="Times New Roman" w:cs="Times New Roman"/>
          <w:sz w:val="24"/>
          <w:szCs w:val="24"/>
        </w:rPr>
        <w:t xml:space="preserve"> </w:t>
      </w:r>
      <w:r w:rsidR="008757C7" w:rsidRPr="008757C7">
        <w:rPr>
          <w:rFonts w:ascii="Times New Roman" w:hAnsi="Times New Roman" w:cs="Times New Roman"/>
          <w:sz w:val="24"/>
          <w:szCs w:val="24"/>
        </w:rPr>
        <w:t xml:space="preserve">EUR ir dabas resursu nodoklis un </w:t>
      </w:r>
      <w:r w:rsidR="001935F7">
        <w:rPr>
          <w:rFonts w:ascii="Times New Roman" w:hAnsi="Times New Roman" w:cs="Times New Roman"/>
          <w:sz w:val="24"/>
          <w:szCs w:val="24"/>
        </w:rPr>
        <w:t>253 616</w:t>
      </w:r>
      <w:r w:rsidR="008757C7" w:rsidRPr="008757C7">
        <w:rPr>
          <w:rFonts w:ascii="Times New Roman" w:hAnsi="Times New Roman" w:cs="Times New Roman"/>
          <w:sz w:val="24"/>
          <w:szCs w:val="24"/>
        </w:rPr>
        <w:t xml:space="preserve"> EUR </w:t>
      </w:r>
      <w:r>
        <w:rPr>
          <w:rFonts w:ascii="Times New Roman" w:hAnsi="Times New Roman" w:cs="Times New Roman"/>
          <w:sz w:val="24"/>
          <w:szCs w:val="24"/>
        </w:rPr>
        <w:t xml:space="preserve">– </w:t>
      </w:r>
      <w:r w:rsidR="008757C7" w:rsidRPr="008757C7">
        <w:rPr>
          <w:rFonts w:ascii="Times New Roman" w:hAnsi="Times New Roman" w:cs="Times New Roman"/>
          <w:sz w:val="24"/>
          <w:szCs w:val="24"/>
        </w:rPr>
        <w:t xml:space="preserve"> mērķdotācija autoceļu un ielu uzturēšanai. Speciālā budžeta izdevumi no dabas resursu nodokļa plānoti </w:t>
      </w:r>
      <w:r w:rsidR="001935F7">
        <w:rPr>
          <w:rFonts w:ascii="Times New Roman" w:hAnsi="Times New Roman" w:cs="Times New Roman"/>
          <w:sz w:val="24"/>
          <w:szCs w:val="24"/>
        </w:rPr>
        <w:t>182 53</w:t>
      </w:r>
      <w:r w:rsidR="006179BD">
        <w:rPr>
          <w:rFonts w:ascii="Times New Roman" w:hAnsi="Times New Roman" w:cs="Times New Roman"/>
          <w:sz w:val="24"/>
          <w:szCs w:val="24"/>
        </w:rPr>
        <w:t>4</w:t>
      </w:r>
      <w:r w:rsidR="008757C7" w:rsidRPr="008757C7">
        <w:rPr>
          <w:rFonts w:ascii="Times New Roman" w:hAnsi="Times New Roman" w:cs="Times New Roman"/>
          <w:sz w:val="24"/>
          <w:szCs w:val="24"/>
        </w:rPr>
        <w:t xml:space="preserve"> EUR, pašvaldības ielu un ceļu uzturēšanai </w:t>
      </w:r>
      <w:r w:rsidR="001935F7">
        <w:rPr>
          <w:rFonts w:ascii="Times New Roman" w:hAnsi="Times New Roman" w:cs="Times New Roman"/>
          <w:sz w:val="24"/>
          <w:szCs w:val="24"/>
        </w:rPr>
        <w:t>311 35</w:t>
      </w:r>
      <w:r w:rsidR="006179BD">
        <w:rPr>
          <w:rFonts w:ascii="Times New Roman" w:hAnsi="Times New Roman" w:cs="Times New Roman"/>
          <w:sz w:val="24"/>
          <w:szCs w:val="24"/>
        </w:rPr>
        <w:t>8</w:t>
      </w:r>
      <w:r w:rsidR="003C1D32">
        <w:rPr>
          <w:rFonts w:ascii="Times New Roman" w:hAnsi="Times New Roman" w:cs="Times New Roman"/>
          <w:sz w:val="24"/>
          <w:szCs w:val="24"/>
        </w:rPr>
        <w:t xml:space="preserve"> EUR</w:t>
      </w:r>
      <w:bookmarkEnd w:id="0"/>
      <w:r w:rsidR="003C1D32">
        <w:rPr>
          <w:rFonts w:ascii="Times New Roman" w:hAnsi="Times New Roman" w:cs="Times New Roman"/>
          <w:sz w:val="24"/>
          <w:szCs w:val="24"/>
        </w:rPr>
        <w:t xml:space="preserve">. </w:t>
      </w:r>
      <w:r w:rsidR="008757C7" w:rsidRPr="008757C7">
        <w:rPr>
          <w:rFonts w:ascii="Times New Roman" w:hAnsi="Times New Roman" w:cs="Times New Roman"/>
          <w:sz w:val="24"/>
          <w:szCs w:val="24"/>
        </w:rPr>
        <w:t xml:space="preserve"> </w:t>
      </w:r>
    </w:p>
    <w:p w:rsidR="008757C7" w:rsidRPr="008757C7" w:rsidRDefault="008757C7" w:rsidP="001B51F2">
      <w:pPr>
        <w:spacing w:after="0"/>
        <w:ind w:firstLine="720"/>
        <w:jc w:val="both"/>
        <w:rPr>
          <w:rFonts w:ascii="Times New Roman" w:hAnsi="Times New Roman" w:cs="Times New Roman"/>
          <w:sz w:val="24"/>
          <w:szCs w:val="24"/>
        </w:rPr>
      </w:pPr>
      <w:r w:rsidRPr="008757C7">
        <w:rPr>
          <w:rFonts w:ascii="Times New Roman" w:hAnsi="Times New Roman" w:cs="Times New Roman"/>
          <w:sz w:val="24"/>
          <w:szCs w:val="24"/>
        </w:rPr>
        <w:t xml:space="preserve">Ziedojumu un dāvinājumu budžetā plānoti izdevumi </w:t>
      </w:r>
      <w:r w:rsidR="001935F7">
        <w:rPr>
          <w:rFonts w:ascii="Times New Roman" w:hAnsi="Times New Roman" w:cs="Times New Roman"/>
          <w:sz w:val="24"/>
          <w:szCs w:val="24"/>
        </w:rPr>
        <w:t>2197</w:t>
      </w:r>
      <w:r w:rsidRPr="008757C7">
        <w:rPr>
          <w:rFonts w:ascii="Times New Roman" w:hAnsi="Times New Roman" w:cs="Times New Roman"/>
          <w:sz w:val="24"/>
          <w:szCs w:val="24"/>
        </w:rPr>
        <w:t xml:space="preserve"> EUR apmērā. Izdevumi tiks finansēti no ziedojumu un dāvinājumu līdzekļu atlikuma gada sākumā EUR </w:t>
      </w:r>
      <w:r w:rsidR="001935F7">
        <w:rPr>
          <w:rFonts w:ascii="Times New Roman" w:hAnsi="Times New Roman" w:cs="Times New Roman"/>
          <w:sz w:val="24"/>
          <w:szCs w:val="24"/>
        </w:rPr>
        <w:t>2197</w:t>
      </w:r>
      <w:r w:rsidRPr="008757C7">
        <w:rPr>
          <w:rFonts w:ascii="Times New Roman" w:hAnsi="Times New Roman" w:cs="Times New Roman"/>
          <w:sz w:val="24"/>
          <w:szCs w:val="24"/>
        </w:rPr>
        <w:t xml:space="preserve">. </w:t>
      </w:r>
    </w:p>
    <w:p w:rsidR="008757C7" w:rsidRPr="008757C7" w:rsidRDefault="008757C7" w:rsidP="001B51F2">
      <w:pPr>
        <w:spacing w:after="0"/>
        <w:ind w:firstLine="720"/>
        <w:jc w:val="both"/>
        <w:rPr>
          <w:rFonts w:ascii="Times New Roman" w:hAnsi="Times New Roman" w:cs="Times New Roman"/>
          <w:sz w:val="24"/>
          <w:szCs w:val="24"/>
        </w:rPr>
      </w:pPr>
      <w:r w:rsidRPr="008757C7">
        <w:rPr>
          <w:rFonts w:ascii="Times New Roman" w:hAnsi="Times New Roman" w:cs="Times New Roman"/>
          <w:sz w:val="24"/>
          <w:szCs w:val="24"/>
        </w:rPr>
        <w:t>Skaitliskā informācija par budžeta ieņēmumiem un izdevumiem atbilstoši ieņēmumu avotiem, budžeta ieņēmumu un izdevumu klasifikācijai, ir redzama Priekules novada pašvaldības domes saistošo noteikumu „Par Priekules novada pašvaldības 201</w:t>
      </w:r>
      <w:r w:rsidR="001935F7">
        <w:rPr>
          <w:rFonts w:ascii="Times New Roman" w:hAnsi="Times New Roman" w:cs="Times New Roman"/>
          <w:sz w:val="24"/>
          <w:szCs w:val="24"/>
        </w:rPr>
        <w:t>8</w:t>
      </w:r>
      <w:r w:rsidRPr="008757C7">
        <w:rPr>
          <w:rFonts w:ascii="Times New Roman" w:hAnsi="Times New Roman" w:cs="Times New Roman"/>
          <w:sz w:val="24"/>
          <w:szCs w:val="24"/>
        </w:rPr>
        <w:t xml:space="preserve">. gada budžetu” </w:t>
      </w:r>
      <w:r w:rsidRPr="00A3137D">
        <w:rPr>
          <w:rFonts w:ascii="Times New Roman" w:hAnsi="Times New Roman" w:cs="Times New Roman"/>
          <w:sz w:val="24"/>
          <w:szCs w:val="24"/>
        </w:rPr>
        <w:t>1.,2.,3.pielikumā.</w:t>
      </w:r>
      <w:r w:rsidRPr="008757C7">
        <w:rPr>
          <w:rFonts w:ascii="Times New Roman" w:hAnsi="Times New Roman" w:cs="Times New Roman"/>
          <w:sz w:val="24"/>
          <w:szCs w:val="24"/>
        </w:rPr>
        <w:t xml:space="preserve"> </w:t>
      </w:r>
    </w:p>
    <w:p w:rsidR="008757C7" w:rsidRPr="008757C7" w:rsidRDefault="008757C7" w:rsidP="001B51F2">
      <w:pPr>
        <w:spacing w:after="0"/>
        <w:ind w:firstLine="720"/>
        <w:jc w:val="both"/>
        <w:rPr>
          <w:rFonts w:ascii="Times New Roman" w:hAnsi="Times New Roman" w:cs="Times New Roman"/>
          <w:sz w:val="24"/>
          <w:szCs w:val="24"/>
        </w:rPr>
      </w:pPr>
      <w:r w:rsidRPr="008757C7">
        <w:rPr>
          <w:rFonts w:ascii="Times New Roman" w:hAnsi="Times New Roman" w:cs="Times New Roman"/>
          <w:sz w:val="24"/>
          <w:szCs w:val="24"/>
        </w:rPr>
        <w:lastRenderedPageBreak/>
        <w:t>Priekules novada pašvaldības 201</w:t>
      </w:r>
      <w:r w:rsidR="001935F7">
        <w:rPr>
          <w:rFonts w:ascii="Times New Roman" w:hAnsi="Times New Roman" w:cs="Times New Roman"/>
          <w:sz w:val="24"/>
          <w:szCs w:val="24"/>
        </w:rPr>
        <w:t>8</w:t>
      </w:r>
      <w:r w:rsidRPr="008757C7">
        <w:rPr>
          <w:rFonts w:ascii="Times New Roman" w:hAnsi="Times New Roman" w:cs="Times New Roman"/>
          <w:sz w:val="24"/>
          <w:szCs w:val="24"/>
        </w:rPr>
        <w:t>. gada budžeta projekts tika izskatīts deputātu un speciālistu darba grupās, administrācijas sanāksmēs, 201</w:t>
      </w:r>
      <w:r w:rsidR="001935F7">
        <w:rPr>
          <w:rFonts w:ascii="Times New Roman" w:hAnsi="Times New Roman" w:cs="Times New Roman"/>
          <w:sz w:val="24"/>
          <w:szCs w:val="24"/>
        </w:rPr>
        <w:t>8</w:t>
      </w:r>
      <w:r w:rsidRPr="008757C7">
        <w:rPr>
          <w:rFonts w:ascii="Times New Roman" w:hAnsi="Times New Roman" w:cs="Times New Roman"/>
          <w:sz w:val="24"/>
          <w:szCs w:val="24"/>
        </w:rPr>
        <w:t xml:space="preserve">. gada </w:t>
      </w:r>
      <w:r w:rsidR="001935F7">
        <w:rPr>
          <w:rFonts w:ascii="Times New Roman" w:hAnsi="Times New Roman" w:cs="Times New Roman"/>
          <w:sz w:val="24"/>
          <w:szCs w:val="24"/>
        </w:rPr>
        <w:t>18</w:t>
      </w:r>
      <w:r w:rsidRPr="008757C7">
        <w:rPr>
          <w:rFonts w:ascii="Times New Roman" w:hAnsi="Times New Roman" w:cs="Times New Roman"/>
          <w:sz w:val="24"/>
          <w:szCs w:val="24"/>
        </w:rPr>
        <w:t xml:space="preserve">.janvāra </w:t>
      </w:r>
      <w:r w:rsidR="001935F7">
        <w:rPr>
          <w:rFonts w:ascii="Times New Roman" w:hAnsi="Times New Roman" w:cs="Times New Roman"/>
          <w:sz w:val="24"/>
          <w:szCs w:val="24"/>
        </w:rPr>
        <w:t>finanšu</w:t>
      </w:r>
      <w:r w:rsidRPr="008757C7">
        <w:rPr>
          <w:rFonts w:ascii="Times New Roman" w:hAnsi="Times New Roman" w:cs="Times New Roman"/>
          <w:sz w:val="24"/>
          <w:szCs w:val="24"/>
        </w:rPr>
        <w:t xml:space="preserve"> komitej</w:t>
      </w:r>
      <w:r w:rsidR="001935F7">
        <w:rPr>
          <w:rFonts w:ascii="Times New Roman" w:hAnsi="Times New Roman" w:cs="Times New Roman"/>
          <w:sz w:val="24"/>
          <w:szCs w:val="24"/>
        </w:rPr>
        <w:t>as</w:t>
      </w:r>
      <w:r w:rsidRPr="008757C7">
        <w:rPr>
          <w:rFonts w:ascii="Times New Roman" w:hAnsi="Times New Roman" w:cs="Times New Roman"/>
          <w:sz w:val="24"/>
          <w:szCs w:val="24"/>
        </w:rPr>
        <w:t xml:space="preserve"> sēdē un iesniegts apstiprināšanai 201</w:t>
      </w:r>
      <w:r w:rsidR="001935F7">
        <w:rPr>
          <w:rFonts w:ascii="Times New Roman" w:hAnsi="Times New Roman" w:cs="Times New Roman"/>
          <w:sz w:val="24"/>
          <w:szCs w:val="24"/>
        </w:rPr>
        <w:t>8</w:t>
      </w:r>
      <w:r w:rsidRPr="008757C7">
        <w:rPr>
          <w:rFonts w:ascii="Times New Roman" w:hAnsi="Times New Roman" w:cs="Times New Roman"/>
          <w:sz w:val="24"/>
          <w:szCs w:val="24"/>
        </w:rPr>
        <w:t>. gada 2</w:t>
      </w:r>
      <w:r w:rsidR="001935F7">
        <w:rPr>
          <w:rFonts w:ascii="Times New Roman" w:hAnsi="Times New Roman" w:cs="Times New Roman"/>
          <w:sz w:val="24"/>
          <w:szCs w:val="24"/>
        </w:rPr>
        <w:t>2</w:t>
      </w:r>
      <w:r w:rsidRPr="008757C7">
        <w:rPr>
          <w:rFonts w:ascii="Times New Roman" w:hAnsi="Times New Roman" w:cs="Times New Roman"/>
          <w:sz w:val="24"/>
          <w:szCs w:val="24"/>
        </w:rPr>
        <w:t>. janvāra domes sēdē.</w:t>
      </w:r>
    </w:p>
    <w:p w:rsidR="001B51F2" w:rsidRDefault="001B51F2" w:rsidP="00AC681A">
      <w:pPr>
        <w:jc w:val="center"/>
        <w:rPr>
          <w:rFonts w:ascii="Times New Roman" w:hAnsi="Times New Roman" w:cs="Times New Roman"/>
          <w:b/>
          <w:sz w:val="24"/>
          <w:szCs w:val="24"/>
        </w:rPr>
      </w:pPr>
    </w:p>
    <w:p w:rsidR="006F778A" w:rsidRPr="006F778A" w:rsidRDefault="006F778A" w:rsidP="00AC681A">
      <w:pPr>
        <w:jc w:val="center"/>
        <w:rPr>
          <w:rFonts w:ascii="Times New Roman" w:hAnsi="Times New Roman" w:cs="Times New Roman"/>
          <w:b/>
          <w:sz w:val="24"/>
          <w:szCs w:val="24"/>
        </w:rPr>
      </w:pPr>
      <w:r>
        <w:rPr>
          <w:rFonts w:ascii="Times New Roman" w:hAnsi="Times New Roman" w:cs="Times New Roman"/>
          <w:b/>
          <w:sz w:val="24"/>
          <w:szCs w:val="24"/>
        </w:rPr>
        <w:t>Priekules</w:t>
      </w:r>
      <w:r w:rsidRPr="006F778A">
        <w:rPr>
          <w:rFonts w:ascii="Times New Roman" w:hAnsi="Times New Roman" w:cs="Times New Roman"/>
          <w:b/>
          <w:sz w:val="24"/>
          <w:szCs w:val="24"/>
        </w:rPr>
        <w:t xml:space="preserve"> novada pašvaldības 201</w:t>
      </w:r>
      <w:r w:rsidR="001935F7">
        <w:rPr>
          <w:rFonts w:ascii="Times New Roman" w:hAnsi="Times New Roman" w:cs="Times New Roman"/>
          <w:b/>
          <w:sz w:val="24"/>
          <w:szCs w:val="24"/>
        </w:rPr>
        <w:t>8</w:t>
      </w:r>
      <w:r w:rsidRPr="006F778A">
        <w:rPr>
          <w:rFonts w:ascii="Times New Roman" w:hAnsi="Times New Roman" w:cs="Times New Roman"/>
          <w:b/>
          <w:sz w:val="24"/>
          <w:szCs w:val="24"/>
        </w:rPr>
        <w:t xml:space="preserve">.gada </w:t>
      </w:r>
      <w:r>
        <w:rPr>
          <w:rFonts w:ascii="Times New Roman" w:hAnsi="Times New Roman" w:cs="Times New Roman"/>
          <w:b/>
          <w:sz w:val="24"/>
          <w:szCs w:val="24"/>
        </w:rPr>
        <w:t xml:space="preserve">pamatbudžeta </w:t>
      </w:r>
      <w:r w:rsidRPr="006F778A">
        <w:rPr>
          <w:rFonts w:ascii="Times New Roman" w:hAnsi="Times New Roman" w:cs="Times New Roman"/>
          <w:b/>
          <w:sz w:val="24"/>
          <w:szCs w:val="24"/>
        </w:rPr>
        <w:t>ieņēmumu prognoze</w:t>
      </w:r>
    </w:p>
    <w:p w:rsidR="006F778A" w:rsidRDefault="006F778A" w:rsidP="00AC681A">
      <w:pPr>
        <w:ind w:firstLine="720"/>
        <w:jc w:val="both"/>
        <w:rPr>
          <w:rFonts w:ascii="Times New Roman" w:hAnsi="Times New Roman" w:cs="Times New Roman"/>
          <w:sz w:val="24"/>
          <w:szCs w:val="24"/>
        </w:rPr>
      </w:pPr>
      <w:r>
        <w:rPr>
          <w:rFonts w:ascii="Times New Roman" w:hAnsi="Times New Roman" w:cs="Times New Roman"/>
          <w:sz w:val="24"/>
          <w:szCs w:val="24"/>
        </w:rPr>
        <w:t>Priekules</w:t>
      </w:r>
      <w:r w:rsidRPr="006F778A">
        <w:rPr>
          <w:rFonts w:ascii="Times New Roman" w:hAnsi="Times New Roman" w:cs="Times New Roman"/>
          <w:sz w:val="24"/>
          <w:szCs w:val="24"/>
        </w:rPr>
        <w:t xml:space="preserve"> novada pašvaldības pamatbudžeta ieņēmumi, kas 201</w:t>
      </w:r>
      <w:r w:rsidR="001935F7">
        <w:rPr>
          <w:rFonts w:ascii="Times New Roman" w:hAnsi="Times New Roman" w:cs="Times New Roman"/>
          <w:sz w:val="24"/>
          <w:szCs w:val="24"/>
        </w:rPr>
        <w:t>8</w:t>
      </w:r>
      <w:r w:rsidRPr="006F778A">
        <w:rPr>
          <w:rFonts w:ascii="Times New Roman" w:hAnsi="Times New Roman" w:cs="Times New Roman"/>
          <w:sz w:val="24"/>
          <w:szCs w:val="24"/>
        </w:rPr>
        <w:t xml:space="preserve">. gadam plānoti </w:t>
      </w:r>
      <w:r w:rsidR="00F42FE2">
        <w:rPr>
          <w:rFonts w:ascii="Times New Roman" w:hAnsi="Times New Roman" w:cs="Times New Roman"/>
          <w:sz w:val="24"/>
          <w:szCs w:val="24"/>
        </w:rPr>
        <w:t>7 677 371</w:t>
      </w:r>
      <w:r w:rsidRPr="006F778A">
        <w:rPr>
          <w:rFonts w:ascii="Times New Roman" w:hAnsi="Times New Roman" w:cs="Times New Roman"/>
          <w:sz w:val="24"/>
          <w:szCs w:val="24"/>
        </w:rPr>
        <w:t xml:space="preserve"> EUR apmērā, ietver nodokļu ieņēmumus (iedzīvotāju ienākuma nodok</w:t>
      </w:r>
      <w:r>
        <w:rPr>
          <w:rFonts w:ascii="Times New Roman" w:hAnsi="Times New Roman" w:cs="Times New Roman"/>
          <w:sz w:val="24"/>
          <w:szCs w:val="24"/>
        </w:rPr>
        <w:t>lis, nekustamā īpašuma nodoklis)</w:t>
      </w:r>
      <w:r w:rsidRPr="006F778A">
        <w:rPr>
          <w:rFonts w:ascii="Times New Roman" w:hAnsi="Times New Roman" w:cs="Times New Roman"/>
          <w:sz w:val="24"/>
          <w:szCs w:val="24"/>
        </w:rPr>
        <w:t xml:space="preserve">, </w:t>
      </w:r>
      <w:proofErr w:type="spellStart"/>
      <w:r w:rsidRPr="006F778A">
        <w:rPr>
          <w:rFonts w:ascii="Times New Roman" w:hAnsi="Times New Roman" w:cs="Times New Roman"/>
          <w:sz w:val="24"/>
          <w:szCs w:val="24"/>
        </w:rPr>
        <w:t>nenodokļu</w:t>
      </w:r>
      <w:proofErr w:type="spellEnd"/>
      <w:r w:rsidRPr="006F778A">
        <w:rPr>
          <w:rFonts w:ascii="Times New Roman" w:hAnsi="Times New Roman" w:cs="Times New Roman"/>
          <w:sz w:val="24"/>
          <w:szCs w:val="24"/>
        </w:rPr>
        <w:t xml:space="preserve"> ieņēmumus</w:t>
      </w:r>
      <w:r>
        <w:rPr>
          <w:rFonts w:ascii="Times New Roman" w:hAnsi="Times New Roman" w:cs="Times New Roman"/>
          <w:sz w:val="24"/>
          <w:szCs w:val="24"/>
        </w:rPr>
        <w:t xml:space="preserve"> (</w:t>
      </w:r>
      <w:r w:rsidRPr="006F778A">
        <w:rPr>
          <w:rFonts w:ascii="Times New Roman" w:hAnsi="Times New Roman" w:cs="Times New Roman"/>
          <w:sz w:val="24"/>
          <w:szCs w:val="24"/>
        </w:rPr>
        <w:t xml:space="preserve">pašvaldības nodevas un naudas sodi u.c.), budžeta iestāžu ieņēmumus (ieņēmumi no budžeta iestāžu sniegtajiem maksas pakalpojumiem un citi pašu ieņēmumi), valsts budžeta </w:t>
      </w:r>
      <w:proofErr w:type="spellStart"/>
      <w:r w:rsidRPr="006F778A">
        <w:rPr>
          <w:rFonts w:ascii="Times New Roman" w:hAnsi="Times New Roman" w:cs="Times New Roman"/>
          <w:sz w:val="24"/>
          <w:szCs w:val="24"/>
        </w:rPr>
        <w:t>transfertus</w:t>
      </w:r>
      <w:proofErr w:type="spellEnd"/>
      <w:r w:rsidRPr="006F778A">
        <w:rPr>
          <w:rFonts w:ascii="Times New Roman" w:hAnsi="Times New Roman" w:cs="Times New Roman"/>
          <w:sz w:val="24"/>
          <w:szCs w:val="24"/>
        </w:rPr>
        <w:t xml:space="preserve"> (mērķdotācijas un dotācijas pašvaldības budžetam, finansējums ES fondu projektu īstenošanai) un pašvaldību budžetu </w:t>
      </w:r>
      <w:proofErr w:type="spellStart"/>
      <w:r w:rsidRPr="006F778A">
        <w:rPr>
          <w:rFonts w:ascii="Times New Roman" w:hAnsi="Times New Roman" w:cs="Times New Roman"/>
          <w:sz w:val="24"/>
          <w:szCs w:val="24"/>
        </w:rPr>
        <w:t>transfertus</w:t>
      </w:r>
      <w:proofErr w:type="spellEnd"/>
      <w:r w:rsidRPr="006F778A">
        <w:rPr>
          <w:rFonts w:ascii="Times New Roman" w:hAnsi="Times New Roman" w:cs="Times New Roman"/>
          <w:sz w:val="24"/>
          <w:szCs w:val="24"/>
        </w:rPr>
        <w:t xml:space="preserve"> (ieņēmumi par izglītības funkciju nodrošināšanu). </w:t>
      </w:r>
    </w:p>
    <w:p w:rsidR="001B51F2" w:rsidRPr="005D65DE" w:rsidRDefault="001B51F2" w:rsidP="001B51F2">
      <w:pPr>
        <w:spacing w:after="0"/>
        <w:ind w:firstLine="720"/>
        <w:jc w:val="center"/>
        <w:rPr>
          <w:rFonts w:ascii="Times New Roman" w:hAnsi="Times New Roman" w:cs="Times New Roman"/>
          <w:b/>
          <w:sz w:val="28"/>
          <w:szCs w:val="28"/>
        </w:rPr>
      </w:pPr>
      <w:r w:rsidRPr="005D65DE">
        <w:rPr>
          <w:rFonts w:ascii="Times New Roman" w:hAnsi="Times New Roman" w:cs="Times New Roman"/>
          <w:b/>
          <w:sz w:val="28"/>
          <w:szCs w:val="28"/>
        </w:rPr>
        <w:t>Pamatbudžeta ieņēmumu struktūra 201</w:t>
      </w:r>
      <w:r w:rsidR="00A85658" w:rsidRPr="005D65DE">
        <w:rPr>
          <w:rFonts w:ascii="Times New Roman" w:hAnsi="Times New Roman" w:cs="Times New Roman"/>
          <w:b/>
          <w:sz w:val="28"/>
          <w:szCs w:val="28"/>
        </w:rPr>
        <w:t>8</w:t>
      </w:r>
      <w:r w:rsidRPr="005D65DE">
        <w:rPr>
          <w:rFonts w:ascii="Times New Roman" w:hAnsi="Times New Roman" w:cs="Times New Roman"/>
          <w:b/>
          <w:sz w:val="28"/>
          <w:szCs w:val="28"/>
        </w:rPr>
        <w:t>.gadā pa ieņēmumu veidiem</w:t>
      </w:r>
    </w:p>
    <w:p w:rsidR="00A85658" w:rsidRPr="005D65DE" w:rsidRDefault="00A85658" w:rsidP="00A3137D">
      <w:pPr>
        <w:spacing w:after="0"/>
        <w:ind w:firstLine="720"/>
        <w:jc w:val="both"/>
        <w:rPr>
          <w:rFonts w:ascii="Times New Roman" w:hAnsi="Times New Roman" w:cs="Times New Roman"/>
          <w:sz w:val="28"/>
          <w:szCs w:val="28"/>
        </w:rPr>
      </w:pPr>
    </w:p>
    <w:tbl>
      <w:tblPr>
        <w:tblW w:w="9087" w:type="dxa"/>
        <w:tblInd w:w="93" w:type="dxa"/>
        <w:tblLayout w:type="fixed"/>
        <w:tblLook w:val="04A0" w:firstRow="1" w:lastRow="0" w:firstColumn="1" w:lastColumn="0" w:noHBand="0" w:noVBand="1"/>
      </w:tblPr>
      <w:tblGrid>
        <w:gridCol w:w="2850"/>
        <w:gridCol w:w="1276"/>
        <w:gridCol w:w="1134"/>
        <w:gridCol w:w="1276"/>
        <w:gridCol w:w="1276"/>
        <w:gridCol w:w="1275"/>
      </w:tblGrid>
      <w:tr w:rsidR="00A85658" w:rsidRPr="001B51F2" w:rsidTr="004C103A">
        <w:trPr>
          <w:trHeight w:val="1200"/>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A85658" w:rsidRDefault="00A85658" w:rsidP="00A85658">
            <w:pPr>
              <w:autoSpaceDE w:val="0"/>
              <w:autoSpaceDN w:val="0"/>
              <w:adjustRightInd w:val="0"/>
              <w:spacing w:after="0" w:line="240" w:lineRule="auto"/>
              <w:jc w:val="right"/>
              <w:rPr>
                <w:rFonts w:ascii="Calibri" w:hAnsi="Calibri" w:cs="Calibri"/>
                <w:color w:val="000000"/>
              </w:rPr>
            </w:pPr>
          </w:p>
        </w:tc>
        <w:tc>
          <w:tcPr>
            <w:tcW w:w="1276" w:type="dxa"/>
            <w:tcBorders>
              <w:top w:val="single" w:sz="4" w:space="0" w:color="auto"/>
              <w:left w:val="nil"/>
              <w:bottom w:val="single" w:sz="4" w:space="0" w:color="auto"/>
              <w:right w:val="single" w:sz="4" w:space="0" w:color="auto"/>
            </w:tcBorders>
            <w:shd w:val="clear" w:color="auto" w:fill="auto"/>
            <w:hideMark/>
          </w:tcPr>
          <w:p w:rsidR="00A85658" w:rsidRDefault="00A85658" w:rsidP="00A8565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2016.gada izpilde</w:t>
            </w:r>
          </w:p>
        </w:tc>
        <w:tc>
          <w:tcPr>
            <w:tcW w:w="1134" w:type="dxa"/>
            <w:tcBorders>
              <w:top w:val="single" w:sz="4" w:space="0" w:color="auto"/>
              <w:left w:val="nil"/>
              <w:bottom w:val="single" w:sz="4" w:space="0" w:color="auto"/>
              <w:right w:val="single" w:sz="4" w:space="0" w:color="auto"/>
            </w:tcBorders>
            <w:shd w:val="clear" w:color="auto" w:fill="auto"/>
            <w:hideMark/>
          </w:tcPr>
          <w:p w:rsidR="00A85658" w:rsidRDefault="00A85658" w:rsidP="00A8565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2017.gada izpilde</w:t>
            </w:r>
          </w:p>
        </w:tc>
        <w:tc>
          <w:tcPr>
            <w:tcW w:w="1276" w:type="dxa"/>
            <w:tcBorders>
              <w:top w:val="single" w:sz="4" w:space="0" w:color="auto"/>
              <w:left w:val="nil"/>
              <w:bottom w:val="single" w:sz="4" w:space="0" w:color="auto"/>
              <w:right w:val="single" w:sz="4" w:space="0" w:color="auto"/>
            </w:tcBorders>
            <w:shd w:val="clear" w:color="auto" w:fill="auto"/>
            <w:hideMark/>
          </w:tcPr>
          <w:p w:rsidR="00A85658" w:rsidRDefault="00A85658" w:rsidP="00A8565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2018.gada plāns</w:t>
            </w:r>
          </w:p>
        </w:tc>
        <w:tc>
          <w:tcPr>
            <w:tcW w:w="1276" w:type="dxa"/>
            <w:tcBorders>
              <w:top w:val="single" w:sz="4" w:space="0" w:color="auto"/>
              <w:left w:val="nil"/>
              <w:bottom w:val="single" w:sz="4" w:space="0" w:color="auto"/>
              <w:right w:val="single" w:sz="4" w:space="0" w:color="auto"/>
            </w:tcBorders>
            <w:shd w:val="clear" w:color="auto" w:fill="auto"/>
            <w:hideMark/>
          </w:tcPr>
          <w:p w:rsidR="00A85658" w:rsidRDefault="00A85658" w:rsidP="00A8565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salīdzinot ar 2017.gada izpildi</w:t>
            </w:r>
          </w:p>
        </w:tc>
        <w:tc>
          <w:tcPr>
            <w:tcW w:w="1275" w:type="dxa"/>
            <w:tcBorders>
              <w:top w:val="single" w:sz="4" w:space="0" w:color="auto"/>
              <w:left w:val="nil"/>
              <w:bottom w:val="single" w:sz="4" w:space="0" w:color="auto"/>
              <w:right w:val="single" w:sz="4" w:space="0" w:color="auto"/>
            </w:tcBorders>
            <w:shd w:val="clear" w:color="auto" w:fill="auto"/>
            <w:hideMark/>
          </w:tcPr>
          <w:p w:rsidR="00A85658" w:rsidRDefault="00A85658" w:rsidP="00A85658">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no kopējiem ieņēmumiem 2018.g.</w:t>
            </w:r>
          </w:p>
        </w:tc>
      </w:tr>
      <w:tr w:rsidR="00C73CBF" w:rsidRPr="001B51F2" w:rsidTr="005D65DE">
        <w:trPr>
          <w:trHeight w:val="300"/>
        </w:trPr>
        <w:tc>
          <w:tcPr>
            <w:tcW w:w="2850" w:type="dxa"/>
            <w:tcBorders>
              <w:top w:val="nil"/>
              <w:left w:val="single" w:sz="4" w:space="0" w:color="auto"/>
              <w:bottom w:val="single" w:sz="4" w:space="0" w:color="auto"/>
              <w:right w:val="single" w:sz="4" w:space="0" w:color="auto"/>
            </w:tcBorders>
            <w:shd w:val="clear" w:color="auto" w:fill="D6E3BC" w:themeFill="accent3" w:themeFillTint="66"/>
            <w:hideMark/>
          </w:tcPr>
          <w:p w:rsidR="00C73CBF" w:rsidRDefault="00C73CBF" w:rsidP="00C73CBF">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Nodokļu ieņēmumi</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2 543 872</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2 779 868</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2 824 656</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44 788</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36,79</w:t>
            </w:r>
          </w:p>
        </w:tc>
      </w:tr>
      <w:tr w:rsidR="00C73CBF" w:rsidRPr="001B51F2" w:rsidTr="00A27149">
        <w:trPr>
          <w:trHeight w:val="300"/>
        </w:trPr>
        <w:tc>
          <w:tcPr>
            <w:tcW w:w="2850" w:type="dxa"/>
            <w:tcBorders>
              <w:top w:val="nil"/>
              <w:left w:val="single" w:sz="4" w:space="0" w:color="auto"/>
              <w:bottom w:val="single" w:sz="4" w:space="0" w:color="auto"/>
              <w:right w:val="single" w:sz="4" w:space="0" w:color="auto"/>
            </w:tcBorders>
            <w:shd w:val="clear" w:color="auto" w:fill="auto"/>
            <w:hideMark/>
          </w:tcPr>
          <w:p w:rsidR="00C73CBF" w:rsidRDefault="00C73CBF" w:rsidP="00C73CB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Ienākuma nodoklis</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2 052 276</w:t>
            </w:r>
          </w:p>
        </w:tc>
        <w:tc>
          <w:tcPr>
            <w:tcW w:w="1134"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2 283 548</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2 335 908</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52 360</w:t>
            </w:r>
          </w:p>
        </w:tc>
        <w:tc>
          <w:tcPr>
            <w:tcW w:w="1275"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30,43</w:t>
            </w:r>
          </w:p>
        </w:tc>
      </w:tr>
      <w:tr w:rsidR="00C73CBF" w:rsidRPr="001B51F2" w:rsidTr="00A27149">
        <w:trPr>
          <w:trHeight w:val="300"/>
        </w:trPr>
        <w:tc>
          <w:tcPr>
            <w:tcW w:w="2850" w:type="dxa"/>
            <w:tcBorders>
              <w:top w:val="nil"/>
              <w:left w:val="single" w:sz="4" w:space="0" w:color="auto"/>
              <w:bottom w:val="single" w:sz="4" w:space="0" w:color="auto"/>
              <w:right w:val="single" w:sz="4" w:space="0" w:color="auto"/>
            </w:tcBorders>
            <w:shd w:val="clear" w:color="auto" w:fill="auto"/>
            <w:hideMark/>
          </w:tcPr>
          <w:p w:rsidR="00C73CBF" w:rsidRDefault="00C73CBF" w:rsidP="00C73CB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Īpašuma nodokļi</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491 596</w:t>
            </w:r>
          </w:p>
        </w:tc>
        <w:tc>
          <w:tcPr>
            <w:tcW w:w="1134"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496 320</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488 748</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-7 572</w:t>
            </w:r>
          </w:p>
        </w:tc>
        <w:tc>
          <w:tcPr>
            <w:tcW w:w="1275"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6,37</w:t>
            </w:r>
          </w:p>
        </w:tc>
      </w:tr>
      <w:tr w:rsidR="00C73CBF" w:rsidRPr="001B51F2" w:rsidTr="005D65DE">
        <w:trPr>
          <w:trHeight w:val="300"/>
        </w:trPr>
        <w:tc>
          <w:tcPr>
            <w:tcW w:w="2850" w:type="dxa"/>
            <w:tcBorders>
              <w:top w:val="nil"/>
              <w:left w:val="single" w:sz="4" w:space="0" w:color="auto"/>
              <w:bottom w:val="single" w:sz="4" w:space="0" w:color="auto"/>
              <w:right w:val="single" w:sz="4" w:space="0" w:color="auto"/>
            </w:tcBorders>
            <w:shd w:val="clear" w:color="auto" w:fill="D6E3BC" w:themeFill="accent3" w:themeFillTint="66"/>
            <w:hideMark/>
          </w:tcPr>
          <w:p w:rsidR="00C73CBF" w:rsidRDefault="00C73CBF" w:rsidP="00C73CBF">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Nenodokļu</w:t>
            </w:r>
            <w:proofErr w:type="spellEnd"/>
            <w:r>
              <w:rPr>
                <w:rFonts w:ascii="Times New Roman" w:hAnsi="Times New Roman" w:cs="Times New Roman"/>
                <w:b/>
                <w:bCs/>
                <w:color w:val="000000"/>
              </w:rPr>
              <w:t xml:space="preserve"> ieņēmumi</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50 563</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99 172</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111 923</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12 751</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1,46</w:t>
            </w:r>
          </w:p>
        </w:tc>
      </w:tr>
      <w:tr w:rsidR="00C73CBF" w:rsidRPr="001B51F2" w:rsidTr="005D65DE">
        <w:trPr>
          <w:trHeight w:val="570"/>
        </w:trPr>
        <w:tc>
          <w:tcPr>
            <w:tcW w:w="2850"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Maksas pakalpojumi un citi pašu ieņēmumi</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240 555</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271 332</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259 127</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-12 205</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3,38</w:t>
            </w:r>
          </w:p>
        </w:tc>
      </w:tr>
      <w:tr w:rsidR="00C73CBF" w:rsidRPr="001B51F2" w:rsidTr="005D65DE">
        <w:trPr>
          <w:trHeight w:val="300"/>
        </w:trPr>
        <w:tc>
          <w:tcPr>
            <w:tcW w:w="2850" w:type="dxa"/>
            <w:tcBorders>
              <w:top w:val="nil"/>
              <w:left w:val="single" w:sz="4" w:space="0" w:color="auto"/>
              <w:bottom w:val="single" w:sz="4" w:space="0" w:color="auto"/>
              <w:right w:val="single" w:sz="4" w:space="0" w:color="auto"/>
            </w:tcBorders>
            <w:shd w:val="clear" w:color="auto" w:fill="D6E3BC" w:themeFill="accent3" w:themeFillTint="66"/>
            <w:hideMark/>
          </w:tcPr>
          <w:p w:rsidR="00C73CBF" w:rsidRDefault="00C73CBF" w:rsidP="00C73CBF">
            <w:pPr>
              <w:autoSpaceDE w:val="0"/>
              <w:autoSpaceDN w:val="0"/>
              <w:adjustRightInd w:val="0"/>
              <w:spacing w:after="0" w:line="240" w:lineRule="auto"/>
              <w:rPr>
                <w:rFonts w:ascii="Times New Roman" w:hAnsi="Times New Roman" w:cs="Times New Roman"/>
                <w:b/>
                <w:bCs/>
                <w:color w:val="000000"/>
              </w:rPr>
            </w:pPr>
            <w:proofErr w:type="spellStart"/>
            <w:r>
              <w:rPr>
                <w:rFonts w:ascii="Times New Roman" w:hAnsi="Times New Roman" w:cs="Times New Roman"/>
                <w:b/>
                <w:bCs/>
                <w:color w:val="000000"/>
              </w:rPr>
              <w:t>Transferti</w:t>
            </w:r>
            <w:proofErr w:type="spellEnd"/>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3 219 156</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3 497 515</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4 481 665</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984 150</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58,37</w:t>
            </w:r>
          </w:p>
        </w:tc>
      </w:tr>
      <w:tr w:rsidR="00C73CBF" w:rsidRPr="001B51F2" w:rsidTr="00A27149">
        <w:trPr>
          <w:trHeight w:val="300"/>
        </w:trPr>
        <w:tc>
          <w:tcPr>
            <w:tcW w:w="2850" w:type="dxa"/>
            <w:tcBorders>
              <w:top w:val="nil"/>
              <w:left w:val="single" w:sz="4" w:space="0" w:color="auto"/>
              <w:bottom w:val="single" w:sz="4" w:space="0" w:color="auto"/>
              <w:right w:val="single" w:sz="4" w:space="0" w:color="auto"/>
            </w:tcBorders>
            <w:shd w:val="clear" w:color="auto" w:fill="auto"/>
            <w:hideMark/>
          </w:tcPr>
          <w:p w:rsidR="00C73CBF" w:rsidRDefault="00C73CBF" w:rsidP="00C73CB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Valsts budžeta </w:t>
            </w:r>
            <w:proofErr w:type="spellStart"/>
            <w:r>
              <w:rPr>
                <w:rFonts w:ascii="Times New Roman" w:hAnsi="Times New Roman" w:cs="Times New Roman"/>
                <w:color w:val="000000"/>
              </w:rPr>
              <w:t>transferti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3 129 557</w:t>
            </w:r>
          </w:p>
        </w:tc>
        <w:tc>
          <w:tcPr>
            <w:tcW w:w="1134"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3 405 015</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4 389 665</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984 650</w:t>
            </w:r>
          </w:p>
        </w:tc>
        <w:tc>
          <w:tcPr>
            <w:tcW w:w="1275"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57,18</w:t>
            </w:r>
          </w:p>
        </w:tc>
      </w:tr>
      <w:tr w:rsidR="00C73CBF" w:rsidRPr="001B51F2" w:rsidTr="00A27149">
        <w:trPr>
          <w:trHeight w:val="300"/>
        </w:trPr>
        <w:tc>
          <w:tcPr>
            <w:tcW w:w="2850" w:type="dxa"/>
            <w:tcBorders>
              <w:top w:val="nil"/>
              <w:left w:val="single" w:sz="4" w:space="0" w:color="auto"/>
              <w:bottom w:val="single" w:sz="4" w:space="0" w:color="auto"/>
              <w:right w:val="single" w:sz="4" w:space="0" w:color="auto"/>
            </w:tcBorders>
            <w:shd w:val="clear" w:color="auto" w:fill="auto"/>
            <w:hideMark/>
          </w:tcPr>
          <w:p w:rsidR="00C73CBF" w:rsidRDefault="00C73CBF" w:rsidP="00C73CB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Pašvaldību budžetu </w:t>
            </w:r>
            <w:proofErr w:type="spellStart"/>
            <w:r>
              <w:rPr>
                <w:rFonts w:ascii="Times New Roman" w:hAnsi="Times New Roman" w:cs="Times New Roman"/>
                <w:color w:val="000000"/>
              </w:rPr>
              <w:t>transferti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89 599</w:t>
            </w:r>
          </w:p>
        </w:tc>
        <w:tc>
          <w:tcPr>
            <w:tcW w:w="1134" w:type="dxa"/>
            <w:tcBorders>
              <w:top w:val="nil"/>
              <w:left w:val="nil"/>
              <w:bottom w:val="single" w:sz="4" w:space="0" w:color="auto"/>
              <w:right w:val="single" w:sz="4" w:space="0" w:color="auto"/>
            </w:tcBorders>
            <w:shd w:val="clear" w:color="auto" w:fill="auto"/>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92 500</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92 000</w:t>
            </w:r>
          </w:p>
        </w:tc>
        <w:tc>
          <w:tcPr>
            <w:tcW w:w="1276"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-500</w:t>
            </w:r>
          </w:p>
        </w:tc>
        <w:tc>
          <w:tcPr>
            <w:tcW w:w="1275" w:type="dxa"/>
            <w:tcBorders>
              <w:top w:val="nil"/>
              <w:left w:val="nil"/>
              <w:bottom w:val="single" w:sz="4" w:space="0" w:color="auto"/>
              <w:right w:val="single" w:sz="4" w:space="0" w:color="auto"/>
            </w:tcBorders>
            <w:shd w:val="clear" w:color="auto" w:fill="auto"/>
            <w:noWrap/>
            <w:vAlign w:val="center"/>
            <w:hideMark/>
          </w:tcPr>
          <w:p w:rsidR="00C73CBF" w:rsidRPr="00C73CBF" w:rsidRDefault="00C73CBF" w:rsidP="00A27149">
            <w:pPr>
              <w:spacing w:after="0" w:line="240" w:lineRule="auto"/>
              <w:jc w:val="center"/>
              <w:rPr>
                <w:rFonts w:ascii="Times New Roman" w:eastAsia="Times New Roman" w:hAnsi="Times New Roman" w:cs="Times New Roman"/>
                <w:color w:val="000000"/>
                <w:lang w:eastAsia="lv-LV"/>
              </w:rPr>
            </w:pPr>
            <w:r w:rsidRPr="00C73CBF">
              <w:rPr>
                <w:rFonts w:ascii="Times New Roman" w:eastAsia="Times New Roman" w:hAnsi="Times New Roman" w:cs="Times New Roman"/>
                <w:color w:val="000000"/>
                <w:lang w:eastAsia="lv-LV"/>
              </w:rPr>
              <w:t>1,2</w:t>
            </w:r>
          </w:p>
        </w:tc>
      </w:tr>
      <w:tr w:rsidR="00C73CBF" w:rsidRPr="001B51F2" w:rsidTr="005D65DE">
        <w:trPr>
          <w:trHeight w:val="300"/>
        </w:trPr>
        <w:tc>
          <w:tcPr>
            <w:tcW w:w="2850" w:type="dxa"/>
            <w:tcBorders>
              <w:top w:val="nil"/>
              <w:left w:val="single" w:sz="4" w:space="0" w:color="auto"/>
              <w:bottom w:val="single" w:sz="4" w:space="0" w:color="auto"/>
              <w:right w:val="single" w:sz="4" w:space="0" w:color="auto"/>
            </w:tcBorders>
            <w:shd w:val="clear" w:color="auto" w:fill="D6E3BC" w:themeFill="accent3" w:themeFillTint="66"/>
            <w:hideMark/>
          </w:tcPr>
          <w:p w:rsidR="00C73CBF" w:rsidRDefault="00C73CBF" w:rsidP="00C73CBF">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KOPĀ</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6 054 146</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Default="00C73CBF" w:rsidP="00A2714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6 647 887</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7 677 371</w:t>
            </w:r>
          </w:p>
        </w:tc>
        <w:tc>
          <w:tcPr>
            <w:tcW w:w="1276"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1 029 484</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C73CBF" w:rsidRPr="00C73CBF" w:rsidRDefault="00C73CBF" w:rsidP="00A27149">
            <w:pPr>
              <w:spacing w:after="0" w:line="240" w:lineRule="auto"/>
              <w:jc w:val="center"/>
              <w:rPr>
                <w:rFonts w:ascii="Times New Roman" w:eastAsia="Times New Roman" w:hAnsi="Times New Roman" w:cs="Times New Roman"/>
                <w:b/>
                <w:bCs/>
                <w:color w:val="000000"/>
                <w:lang w:eastAsia="lv-LV"/>
              </w:rPr>
            </w:pPr>
            <w:r w:rsidRPr="00C73CBF">
              <w:rPr>
                <w:rFonts w:ascii="Times New Roman" w:eastAsia="Times New Roman" w:hAnsi="Times New Roman" w:cs="Times New Roman"/>
                <w:b/>
                <w:bCs/>
                <w:color w:val="000000"/>
                <w:lang w:eastAsia="lv-LV"/>
              </w:rPr>
              <w:t>100</w:t>
            </w:r>
          </w:p>
        </w:tc>
      </w:tr>
    </w:tbl>
    <w:p w:rsidR="00A85658" w:rsidRDefault="00A85658" w:rsidP="00A3137D">
      <w:pPr>
        <w:spacing w:after="0"/>
        <w:ind w:firstLine="720"/>
        <w:jc w:val="both"/>
        <w:rPr>
          <w:rFonts w:ascii="Times New Roman" w:hAnsi="Times New Roman" w:cs="Times New Roman"/>
          <w:sz w:val="24"/>
          <w:szCs w:val="24"/>
        </w:rPr>
      </w:pPr>
    </w:p>
    <w:p w:rsidR="001B51F2"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Pašvaldību proporcija iedzīvotāju ienākuma nodokļa (IIN) sadalē netiek mainīta un tāpat kā 201</w:t>
      </w:r>
      <w:r w:rsidR="00A85658" w:rsidRPr="005D65DE">
        <w:rPr>
          <w:rFonts w:ascii="Times New Roman" w:hAnsi="Times New Roman" w:cs="Times New Roman"/>
          <w:sz w:val="24"/>
          <w:szCs w:val="24"/>
        </w:rPr>
        <w:t>7</w:t>
      </w:r>
      <w:r w:rsidRPr="005D65DE">
        <w:rPr>
          <w:rFonts w:ascii="Times New Roman" w:hAnsi="Times New Roman" w:cs="Times New Roman"/>
          <w:sz w:val="24"/>
          <w:szCs w:val="24"/>
        </w:rPr>
        <w:t>. gadā ir – 80% pašvaldību budžetos un 20% valsts budžetā. IIN prognoz</w:t>
      </w:r>
      <w:r w:rsidR="00F42FE2">
        <w:rPr>
          <w:rFonts w:ascii="Times New Roman" w:hAnsi="Times New Roman" w:cs="Times New Roman"/>
          <w:sz w:val="24"/>
          <w:szCs w:val="24"/>
        </w:rPr>
        <w:t xml:space="preserve">ēto ieņēmumu sadalījums </w:t>
      </w:r>
      <w:r w:rsidRPr="005D65DE">
        <w:rPr>
          <w:rFonts w:ascii="Times New Roman" w:hAnsi="Times New Roman" w:cs="Times New Roman"/>
          <w:sz w:val="24"/>
          <w:szCs w:val="24"/>
        </w:rPr>
        <w:t xml:space="preserve">pa ceturkšņiem: 1.ceturksnis - 22%, 2.ceturksnis – 24%, 3.ceturksnis – 26%, 4.ceturksnis </w:t>
      </w:r>
      <w:r w:rsidR="007B79F9" w:rsidRPr="005D65DE">
        <w:rPr>
          <w:rFonts w:ascii="Times New Roman" w:hAnsi="Times New Roman" w:cs="Times New Roman"/>
          <w:sz w:val="24"/>
          <w:szCs w:val="24"/>
        </w:rPr>
        <w:t>–</w:t>
      </w:r>
      <w:r w:rsidRPr="005D65DE">
        <w:rPr>
          <w:rFonts w:ascii="Times New Roman" w:hAnsi="Times New Roman" w:cs="Times New Roman"/>
          <w:sz w:val="24"/>
          <w:szCs w:val="24"/>
        </w:rPr>
        <w:t xml:space="preserve"> </w:t>
      </w:r>
      <w:r w:rsidR="007B79F9" w:rsidRPr="005D65DE">
        <w:rPr>
          <w:rFonts w:ascii="Times New Roman" w:hAnsi="Times New Roman" w:cs="Times New Roman"/>
          <w:sz w:val="24"/>
          <w:szCs w:val="24"/>
        </w:rPr>
        <w:t>atbilstoši faktiskajai izpildei</w:t>
      </w:r>
      <w:r w:rsidRPr="005D65DE">
        <w:rPr>
          <w:rFonts w:ascii="Times New Roman" w:hAnsi="Times New Roman" w:cs="Times New Roman"/>
          <w:sz w:val="24"/>
          <w:szCs w:val="24"/>
        </w:rPr>
        <w:t xml:space="preserve">.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IIN ieņēmumi </w:t>
      </w:r>
      <w:r w:rsidR="007B1BC8" w:rsidRPr="005D65DE">
        <w:rPr>
          <w:rFonts w:ascii="Times New Roman" w:hAnsi="Times New Roman" w:cs="Times New Roman"/>
          <w:sz w:val="24"/>
          <w:szCs w:val="24"/>
        </w:rPr>
        <w:t xml:space="preserve">no </w:t>
      </w:r>
      <w:r w:rsidRPr="005D65DE">
        <w:rPr>
          <w:rFonts w:ascii="Times New Roman" w:hAnsi="Times New Roman" w:cs="Times New Roman"/>
          <w:sz w:val="24"/>
          <w:szCs w:val="24"/>
        </w:rPr>
        <w:t>Priekules novada pašvaldības 201</w:t>
      </w:r>
      <w:r w:rsidR="001935F7" w:rsidRPr="005D65DE">
        <w:rPr>
          <w:rFonts w:ascii="Times New Roman" w:hAnsi="Times New Roman" w:cs="Times New Roman"/>
          <w:sz w:val="24"/>
          <w:szCs w:val="24"/>
        </w:rPr>
        <w:t>8</w:t>
      </w:r>
      <w:r w:rsidRPr="005D65DE">
        <w:rPr>
          <w:rFonts w:ascii="Times New Roman" w:hAnsi="Times New Roman" w:cs="Times New Roman"/>
          <w:sz w:val="24"/>
          <w:szCs w:val="24"/>
        </w:rPr>
        <w:t xml:space="preserve">.gada </w:t>
      </w:r>
      <w:r w:rsidR="007B1BC8" w:rsidRPr="005D65DE">
        <w:rPr>
          <w:rFonts w:ascii="Times New Roman" w:hAnsi="Times New Roman" w:cs="Times New Roman"/>
          <w:sz w:val="24"/>
          <w:szCs w:val="24"/>
        </w:rPr>
        <w:t xml:space="preserve">pamatbudžeta </w:t>
      </w:r>
      <w:r w:rsidRPr="005D65DE">
        <w:rPr>
          <w:rFonts w:ascii="Times New Roman" w:hAnsi="Times New Roman" w:cs="Times New Roman"/>
          <w:sz w:val="24"/>
          <w:szCs w:val="24"/>
        </w:rPr>
        <w:t>ieņēmum</w:t>
      </w:r>
      <w:r w:rsidR="007B1BC8" w:rsidRPr="005D65DE">
        <w:rPr>
          <w:rFonts w:ascii="Times New Roman" w:hAnsi="Times New Roman" w:cs="Times New Roman"/>
          <w:sz w:val="24"/>
          <w:szCs w:val="24"/>
        </w:rPr>
        <w:t>iem</w:t>
      </w:r>
      <w:r w:rsidRPr="005D65DE">
        <w:rPr>
          <w:rFonts w:ascii="Times New Roman" w:hAnsi="Times New Roman" w:cs="Times New Roman"/>
          <w:sz w:val="24"/>
          <w:szCs w:val="24"/>
        </w:rPr>
        <w:t xml:space="preserve"> </w:t>
      </w:r>
      <w:r w:rsidR="007B1BC8" w:rsidRPr="005D65DE">
        <w:rPr>
          <w:rFonts w:ascii="Times New Roman" w:hAnsi="Times New Roman" w:cs="Times New Roman"/>
          <w:sz w:val="24"/>
          <w:szCs w:val="24"/>
        </w:rPr>
        <w:t xml:space="preserve">sastāda </w:t>
      </w:r>
      <w:r w:rsidR="001935F7" w:rsidRPr="005D65DE">
        <w:rPr>
          <w:rFonts w:ascii="Times New Roman" w:hAnsi="Times New Roman" w:cs="Times New Roman"/>
          <w:sz w:val="24"/>
          <w:szCs w:val="24"/>
        </w:rPr>
        <w:t>3</w:t>
      </w:r>
      <w:r w:rsidR="006179BD">
        <w:rPr>
          <w:rFonts w:ascii="Times New Roman" w:hAnsi="Times New Roman" w:cs="Times New Roman"/>
          <w:sz w:val="24"/>
          <w:szCs w:val="24"/>
        </w:rPr>
        <w:t>0</w:t>
      </w:r>
      <w:r w:rsidR="00A85721" w:rsidRPr="005D65DE">
        <w:rPr>
          <w:rFonts w:ascii="Times New Roman" w:hAnsi="Times New Roman" w:cs="Times New Roman"/>
          <w:sz w:val="24"/>
          <w:szCs w:val="24"/>
        </w:rPr>
        <w:t>,</w:t>
      </w:r>
      <w:r w:rsidR="001935F7" w:rsidRPr="005D65DE">
        <w:rPr>
          <w:rFonts w:ascii="Times New Roman" w:hAnsi="Times New Roman" w:cs="Times New Roman"/>
          <w:sz w:val="24"/>
          <w:szCs w:val="24"/>
        </w:rPr>
        <w:t>4</w:t>
      </w:r>
      <w:r w:rsidR="00C73CBF" w:rsidRPr="005D65DE">
        <w:rPr>
          <w:rFonts w:ascii="Times New Roman" w:hAnsi="Times New Roman" w:cs="Times New Roman"/>
          <w:sz w:val="24"/>
          <w:szCs w:val="24"/>
        </w:rPr>
        <w:t>3</w:t>
      </w:r>
      <w:r w:rsidR="007B1BC8" w:rsidRPr="005D65DE">
        <w:rPr>
          <w:rFonts w:ascii="Times New Roman" w:hAnsi="Times New Roman" w:cs="Times New Roman"/>
          <w:sz w:val="24"/>
          <w:szCs w:val="24"/>
        </w:rPr>
        <w:t xml:space="preserve">%. </w:t>
      </w:r>
      <w:r w:rsidRPr="005D65DE">
        <w:rPr>
          <w:rFonts w:ascii="Times New Roman" w:hAnsi="Times New Roman" w:cs="Times New Roman"/>
          <w:sz w:val="24"/>
          <w:szCs w:val="24"/>
        </w:rPr>
        <w:t xml:space="preserve">Saskaņā ar pašreizējo kopējo IIN prognozi valstī un atbilstoši </w:t>
      </w:r>
      <w:r w:rsidR="00B142CB" w:rsidRPr="005D65DE">
        <w:rPr>
          <w:rFonts w:ascii="Times New Roman" w:hAnsi="Times New Roman" w:cs="Times New Roman"/>
          <w:sz w:val="24"/>
          <w:szCs w:val="24"/>
        </w:rPr>
        <w:t>Priekules</w:t>
      </w:r>
      <w:r w:rsidRPr="005D65DE">
        <w:rPr>
          <w:rFonts w:ascii="Times New Roman" w:hAnsi="Times New Roman" w:cs="Times New Roman"/>
          <w:sz w:val="24"/>
          <w:szCs w:val="24"/>
        </w:rPr>
        <w:t xml:space="preserve"> novadam noteiktajam pašvaldības īpatsvara koeficientam (</w:t>
      </w:r>
      <w:r w:rsidR="004C103A" w:rsidRPr="005D65DE">
        <w:rPr>
          <w:rFonts w:ascii="Times New Roman" w:hAnsi="Times New Roman" w:cs="Times New Roman"/>
          <w:sz w:val="24"/>
          <w:szCs w:val="24"/>
        </w:rPr>
        <w:t>0,16510796</w:t>
      </w:r>
      <w:r w:rsidRPr="005D65DE">
        <w:rPr>
          <w:rFonts w:ascii="Times New Roman" w:hAnsi="Times New Roman" w:cs="Times New Roman"/>
          <w:sz w:val="24"/>
          <w:szCs w:val="24"/>
        </w:rPr>
        <w:t>%) kopējā sadales kontā ieskaitītajiem IIN ieņēmumiem, ieņēmumi no IIN 201</w:t>
      </w:r>
      <w:r w:rsidR="001935F7" w:rsidRPr="005D65DE">
        <w:rPr>
          <w:rFonts w:ascii="Times New Roman" w:hAnsi="Times New Roman" w:cs="Times New Roman"/>
          <w:sz w:val="24"/>
          <w:szCs w:val="24"/>
        </w:rPr>
        <w:t>8</w:t>
      </w:r>
      <w:r w:rsidRPr="005D65DE">
        <w:rPr>
          <w:rFonts w:ascii="Times New Roman" w:hAnsi="Times New Roman" w:cs="Times New Roman"/>
          <w:sz w:val="24"/>
          <w:szCs w:val="24"/>
        </w:rPr>
        <w:t xml:space="preserve">. gadam tiek plānoti </w:t>
      </w:r>
      <w:r w:rsidR="004F5E77" w:rsidRPr="005D65DE">
        <w:rPr>
          <w:rFonts w:ascii="Times New Roman" w:hAnsi="Times New Roman" w:cs="Times New Roman"/>
          <w:sz w:val="24"/>
          <w:szCs w:val="24"/>
        </w:rPr>
        <w:t>2 335 908</w:t>
      </w:r>
      <w:r w:rsidRPr="005D65DE">
        <w:rPr>
          <w:rFonts w:ascii="Times New Roman" w:hAnsi="Times New Roman" w:cs="Times New Roman"/>
          <w:sz w:val="24"/>
          <w:szCs w:val="24"/>
        </w:rPr>
        <w:t xml:space="preserve"> EUR</w:t>
      </w:r>
      <w:r w:rsidR="00B142CB" w:rsidRPr="005D65DE">
        <w:rPr>
          <w:rFonts w:ascii="Times New Roman" w:hAnsi="Times New Roman" w:cs="Times New Roman"/>
          <w:sz w:val="24"/>
          <w:szCs w:val="24"/>
        </w:rPr>
        <w:t xml:space="preserve">. </w:t>
      </w:r>
    </w:p>
    <w:p w:rsidR="006F778A" w:rsidRPr="006F778A"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Nekustamā īpašuma nodokļa (NĪN) ieņēmumi tiek plānoti </w:t>
      </w:r>
      <w:r w:rsidR="004C103A" w:rsidRPr="005D65DE">
        <w:rPr>
          <w:rFonts w:ascii="Times New Roman" w:hAnsi="Times New Roman" w:cs="Times New Roman"/>
          <w:sz w:val="24"/>
          <w:szCs w:val="24"/>
        </w:rPr>
        <w:t>488 748</w:t>
      </w:r>
      <w:r w:rsidRPr="005D65DE">
        <w:rPr>
          <w:rFonts w:ascii="Times New Roman" w:hAnsi="Times New Roman" w:cs="Times New Roman"/>
          <w:sz w:val="24"/>
          <w:szCs w:val="24"/>
        </w:rPr>
        <w:t xml:space="preserve"> EUR, t.sk., kārtējā gada ieņēmumi </w:t>
      </w:r>
      <w:r w:rsidR="00B142CB" w:rsidRPr="005D65DE">
        <w:rPr>
          <w:rFonts w:ascii="Times New Roman" w:hAnsi="Times New Roman" w:cs="Times New Roman"/>
          <w:sz w:val="24"/>
          <w:szCs w:val="24"/>
        </w:rPr>
        <w:t xml:space="preserve">378 </w:t>
      </w:r>
      <w:r w:rsidR="004C103A" w:rsidRPr="005D65DE">
        <w:rPr>
          <w:rFonts w:ascii="Times New Roman" w:hAnsi="Times New Roman" w:cs="Times New Roman"/>
          <w:sz w:val="24"/>
          <w:szCs w:val="24"/>
        </w:rPr>
        <w:t>848</w:t>
      </w:r>
      <w:r w:rsidRPr="005D65DE">
        <w:rPr>
          <w:rFonts w:ascii="Times New Roman" w:hAnsi="Times New Roman" w:cs="Times New Roman"/>
          <w:sz w:val="24"/>
          <w:szCs w:val="24"/>
        </w:rPr>
        <w:t xml:space="preserve"> EUR un NĪN iepriekšējo gadu parādi </w:t>
      </w:r>
      <w:r w:rsidR="004C103A" w:rsidRPr="005D65DE">
        <w:rPr>
          <w:rFonts w:ascii="Times New Roman" w:hAnsi="Times New Roman" w:cs="Times New Roman"/>
          <w:sz w:val="24"/>
          <w:szCs w:val="24"/>
        </w:rPr>
        <w:t>109 900</w:t>
      </w:r>
      <w:r w:rsidRPr="005D65DE">
        <w:rPr>
          <w:rFonts w:ascii="Times New Roman" w:hAnsi="Times New Roman" w:cs="Times New Roman"/>
          <w:sz w:val="24"/>
          <w:szCs w:val="24"/>
        </w:rPr>
        <w:t xml:space="preserve"> EUR. NĪN ieņēmumu īpatsvars pašvaldības ieņēmumu kopapjomā sastāda </w:t>
      </w:r>
      <w:r w:rsidR="004C103A" w:rsidRPr="005D65DE">
        <w:rPr>
          <w:rFonts w:ascii="Times New Roman" w:hAnsi="Times New Roman" w:cs="Times New Roman"/>
          <w:sz w:val="24"/>
          <w:szCs w:val="24"/>
        </w:rPr>
        <w:t>6.3</w:t>
      </w:r>
      <w:r w:rsidR="00C73CBF" w:rsidRPr="005D65DE">
        <w:rPr>
          <w:rFonts w:ascii="Times New Roman" w:hAnsi="Times New Roman" w:cs="Times New Roman"/>
          <w:sz w:val="24"/>
          <w:szCs w:val="24"/>
        </w:rPr>
        <w:t>7</w:t>
      </w:r>
      <w:r w:rsidR="00B142CB" w:rsidRPr="005D65DE">
        <w:rPr>
          <w:rFonts w:ascii="Times New Roman" w:hAnsi="Times New Roman" w:cs="Times New Roman"/>
          <w:sz w:val="24"/>
          <w:szCs w:val="24"/>
        </w:rPr>
        <w:t>%.</w:t>
      </w:r>
      <w:r w:rsidRPr="006F778A">
        <w:rPr>
          <w:rFonts w:ascii="Times New Roman" w:hAnsi="Times New Roman" w:cs="Times New Roman"/>
          <w:sz w:val="24"/>
          <w:szCs w:val="24"/>
        </w:rPr>
        <w:t xml:space="preserve">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Pamatojoties uz ieņēmumu dinamiku 201</w:t>
      </w:r>
      <w:r w:rsidR="002C0E5F" w:rsidRPr="005D65DE">
        <w:rPr>
          <w:rFonts w:ascii="Times New Roman" w:hAnsi="Times New Roman" w:cs="Times New Roman"/>
          <w:sz w:val="24"/>
          <w:szCs w:val="24"/>
        </w:rPr>
        <w:t>7</w:t>
      </w:r>
      <w:r w:rsidRPr="005D65DE">
        <w:rPr>
          <w:rFonts w:ascii="Times New Roman" w:hAnsi="Times New Roman" w:cs="Times New Roman"/>
          <w:sz w:val="24"/>
          <w:szCs w:val="24"/>
        </w:rPr>
        <w:t>. gadā un prognozēm, 201</w:t>
      </w:r>
      <w:r w:rsidR="002C0E5F" w:rsidRPr="005D65DE">
        <w:rPr>
          <w:rFonts w:ascii="Times New Roman" w:hAnsi="Times New Roman" w:cs="Times New Roman"/>
          <w:sz w:val="24"/>
          <w:szCs w:val="24"/>
        </w:rPr>
        <w:t>8</w:t>
      </w:r>
      <w:r w:rsidRPr="005D65DE">
        <w:rPr>
          <w:rFonts w:ascii="Times New Roman" w:hAnsi="Times New Roman" w:cs="Times New Roman"/>
          <w:sz w:val="24"/>
          <w:szCs w:val="24"/>
        </w:rPr>
        <w:t xml:space="preserve">. gadā </w:t>
      </w:r>
      <w:proofErr w:type="spellStart"/>
      <w:r w:rsidRPr="005D65DE">
        <w:rPr>
          <w:rFonts w:ascii="Times New Roman" w:hAnsi="Times New Roman" w:cs="Times New Roman"/>
          <w:sz w:val="24"/>
          <w:szCs w:val="24"/>
        </w:rPr>
        <w:t>nenodokļu</w:t>
      </w:r>
      <w:proofErr w:type="spellEnd"/>
      <w:r w:rsidRPr="005D65DE">
        <w:rPr>
          <w:rFonts w:ascii="Times New Roman" w:hAnsi="Times New Roman" w:cs="Times New Roman"/>
          <w:sz w:val="24"/>
          <w:szCs w:val="24"/>
        </w:rPr>
        <w:t xml:space="preserve"> ieņēmumi plānoti </w:t>
      </w:r>
      <w:r w:rsidR="00C73CBF" w:rsidRPr="005D65DE">
        <w:rPr>
          <w:rFonts w:ascii="Times New Roman" w:hAnsi="Times New Roman" w:cs="Times New Roman"/>
          <w:sz w:val="24"/>
          <w:szCs w:val="24"/>
        </w:rPr>
        <w:t>111 923</w:t>
      </w:r>
      <w:r w:rsidRPr="005D65DE">
        <w:rPr>
          <w:rFonts w:ascii="Times New Roman" w:hAnsi="Times New Roman" w:cs="Times New Roman"/>
          <w:sz w:val="24"/>
          <w:szCs w:val="24"/>
        </w:rPr>
        <w:t xml:space="preserve"> EUR apjomā jeb </w:t>
      </w:r>
      <w:r w:rsidR="002C0E5F" w:rsidRPr="005D65DE">
        <w:rPr>
          <w:rFonts w:ascii="Times New Roman" w:hAnsi="Times New Roman" w:cs="Times New Roman"/>
          <w:sz w:val="24"/>
          <w:szCs w:val="24"/>
        </w:rPr>
        <w:t>1,</w:t>
      </w:r>
      <w:r w:rsidR="00C73CBF" w:rsidRPr="005D65DE">
        <w:rPr>
          <w:rFonts w:ascii="Times New Roman" w:hAnsi="Times New Roman" w:cs="Times New Roman"/>
          <w:sz w:val="24"/>
          <w:szCs w:val="24"/>
        </w:rPr>
        <w:t>46</w:t>
      </w:r>
      <w:r w:rsidRPr="005D65DE">
        <w:rPr>
          <w:rFonts w:ascii="Times New Roman" w:hAnsi="Times New Roman" w:cs="Times New Roman"/>
          <w:sz w:val="24"/>
          <w:szCs w:val="24"/>
        </w:rPr>
        <w:t xml:space="preserve">% no kopējiem pamatbudžeta ieņēmumiem.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lastRenderedPageBreak/>
        <w:t xml:space="preserve">Ieņēmumi no maksas pakalpojumiem paredzēti </w:t>
      </w:r>
      <w:r w:rsidR="00A27149" w:rsidRPr="005D65DE">
        <w:rPr>
          <w:rFonts w:ascii="Times New Roman" w:hAnsi="Times New Roman" w:cs="Times New Roman"/>
          <w:sz w:val="24"/>
          <w:szCs w:val="24"/>
        </w:rPr>
        <w:t>259 127</w:t>
      </w:r>
      <w:r w:rsidR="00B142CB" w:rsidRPr="005D65DE">
        <w:rPr>
          <w:rFonts w:ascii="Times New Roman" w:hAnsi="Times New Roman" w:cs="Times New Roman"/>
          <w:sz w:val="24"/>
          <w:szCs w:val="24"/>
        </w:rPr>
        <w:t xml:space="preserve"> </w:t>
      </w:r>
      <w:r w:rsidRPr="005D65DE">
        <w:rPr>
          <w:rFonts w:ascii="Times New Roman" w:hAnsi="Times New Roman" w:cs="Times New Roman"/>
          <w:sz w:val="24"/>
          <w:szCs w:val="24"/>
        </w:rPr>
        <w:t xml:space="preserve">EUR apmērā. </w:t>
      </w:r>
      <w:r w:rsidR="00B142CB" w:rsidRPr="005D65DE">
        <w:rPr>
          <w:rFonts w:ascii="Times New Roman" w:hAnsi="Times New Roman" w:cs="Times New Roman"/>
          <w:sz w:val="24"/>
          <w:szCs w:val="24"/>
        </w:rPr>
        <w:t xml:space="preserve">Lielāko ieņēmumu daļu veido dzīvokļu un komunālie maksājumi, vecāku maksas par ēdināšanu izglītības iestādēs. </w:t>
      </w:r>
      <w:r w:rsidRPr="005D65DE">
        <w:rPr>
          <w:rFonts w:ascii="Times New Roman" w:hAnsi="Times New Roman" w:cs="Times New Roman"/>
          <w:sz w:val="24"/>
          <w:szCs w:val="24"/>
        </w:rPr>
        <w:t xml:space="preserve">To īpatsvars pašvaldības ieņēmumu kopapjomā ir </w:t>
      </w:r>
      <w:r w:rsidR="002C0E5F" w:rsidRPr="005D65DE">
        <w:rPr>
          <w:rFonts w:ascii="Times New Roman" w:hAnsi="Times New Roman" w:cs="Times New Roman"/>
          <w:sz w:val="24"/>
          <w:szCs w:val="24"/>
        </w:rPr>
        <w:t>3</w:t>
      </w:r>
      <w:r w:rsidR="00631DD7" w:rsidRPr="005D65DE">
        <w:rPr>
          <w:rFonts w:ascii="Times New Roman" w:hAnsi="Times New Roman" w:cs="Times New Roman"/>
          <w:sz w:val="24"/>
          <w:szCs w:val="24"/>
        </w:rPr>
        <w:t>,</w:t>
      </w:r>
      <w:r w:rsidR="002C0E5F" w:rsidRPr="005D65DE">
        <w:rPr>
          <w:rFonts w:ascii="Times New Roman" w:hAnsi="Times New Roman" w:cs="Times New Roman"/>
          <w:sz w:val="24"/>
          <w:szCs w:val="24"/>
        </w:rPr>
        <w:t>3</w:t>
      </w:r>
      <w:r w:rsidR="00A27149" w:rsidRPr="005D65DE">
        <w:rPr>
          <w:rFonts w:ascii="Times New Roman" w:hAnsi="Times New Roman" w:cs="Times New Roman"/>
          <w:sz w:val="24"/>
          <w:szCs w:val="24"/>
        </w:rPr>
        <w:t>8</w:t>
      </w:r>
      <w:r w:rsidRPr="005D65DE">
        <w:rPr>
          <w:rFonts w:ascii="Times New Roman" w:hAnsi="Times New Roman" w:cs="Times New Roman"/>
          <w:sz w:val="24"/>
          <w:szCs w:val="24"/>
        </w:rPr>
        <w:t xml:space="preserve">%.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Valsts budžeta </w:t>
      </w:r>
      <w:proofErr w:type="spellStart"/>
      <w:r w:rsidRPr="005D65DE">
        <w:rPr>
          <w:rFonts w:ascii="Times New Roman" w:hAnsi="Times New Roman" w:cs="Times New Roman"/>
          <w:sz w:val="24"/>
          <w:szCs w:val="24"/>
        </w:rPr>
        <w:t>transferti</w:t>
      </w:r>
      <w:proofErr w:type="spellEnd"/>
      <w:r w:rsidRPr="005D65DE">
        <w:rPr>
          <w:rFonts w:ascii="Times New Roman" w:hAnsi="Times New Roman" w:cs="Times New Roman"/>
          <w:sz w:val="24"/>
          <w:szCs w:val="24"/>
        </w:rPr>
        <w:t xml:space="preserve"> plānoti </w:t>
      </w:r>
      <w:r w:rsidR="00A27149" w:rsidRPr="005D65DE">
        <w:rPr>
          <w:rFonts w:ascii="Times New Roman" w:hAnsi="Times New Roman" w:cs="Times New Roman"/>
          <w:sz w:val="24"/>
          <w:szCs w:val="24"/>
        </w:rPr>
        <w:t>4 389 665</w:t>
      </w:r>
      <w:r w:rsidR="00B142CB" w:rsidRPr="005D65DE">
        <w:rPr>
          <w:rFonts w:ascii="Times New Roman" w:hAnsi="Times New Roman" w:cs="Times New Roman"/>
          <w:sz w:val="24"/>
          <w:szCs w:val="24"/>
        </w:rPr>
        <w:t xml:space="preserve"> </w:t>
      </w:r>
      <w:r w:rsidRPr="005D65DE">
        <w:rPr>
          <w:rFonts w:ascii="Times New Roman" w:hAnsi="Times New Roman" w:cs="Times New Roman"/>
          <w:sz w:val="24"/>
          <w:szCs w:val="24"/>
        </w:rPr>
        <w:t xml:space="preserve">EUR apjomā jeb </w:t>
      </w:r>
      <w:r w:rsidR="00A27149" w:rsidRPr="005D65DE">
        <w:rPr>
          <w:rFonts w:ascii="Times New Roman" w:hAnsi="Times New Roman" w:cs="Times New Roman"/>
          <w:sz w:val="24"/>
          <w:szCs w:val="24"/>
        </w:rPr>
        <w:t>57,18</w:t>
      </w:r>
      <w:r w:rsidRPr="005D65DE">
        <w:rPr>
          <w:rFonts w:ascii="Times New Roman" w:hAnsi="Times New Roman" w:cs="Times New Roman"/>
          <w:sz w:val="24"/>
          <w:szCs w:val="24"/>
        </w:rPr>
        <w:t>% no k</w:t>
      </w:r>
      <w:r w:rsidR="00B142CB" w:rsidRPr="005D65DE">
        <w:rPr>
          <w:rFonts w:ascii="Times New Roman" w:hAnsi="Times New Roman" w:cs="Times New Roman"/>
          <w:sz w:val="24"/>
          <w:szCs w:val="24"/>
        </w:rPr>
        <w:t xml:space="preserve">opējiem pamatbudžeta ieņēmumiem. </w:t>
      </w:r>
      <w:r w:rsidRPr="005D65DE">
        <w:rPr>
          <w:rFonts w:ascii="Times New Roman" w:hAnsi="Times New Roman" w:cs="Times New Roman"/>
          <w:sz w:val="24"/>
          <w:szCs w:val="24"/>
        </w:rPr>
        <w:t xml:space="preserve">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Valsts budžeta </w:t>
      </w:r>
      <w:proofErr w:type="spellStart"/>
      <w:r w:rsidRPr="005D65DE">
        <w:rPr>
          <w:rFonts w:ascii="Times New Roman" w:hAnsi="Times New Roman" w:cs="Times New Roman"/>
          <w:sz w:val="24"/>
          <w:szCs w:val="24"/>
        </w:rPr>
        <w:t>transfertu</w:t>
      </w:r>
      <w:proofErr w:type="spellEnd"/>
      <w:r w:rsidRPr="005D65DE">
        <w:rPr>
          <w:rFonts w:ascii="Times New Roman" w:hAnsi="Times New Roman" w:cs="Times New Roman"/>
          <w:sz w:val="24"/>
          <w:szCs w:val="24"/>
        </w:rPr>
        <w:t xml:space="preserve"> apjoms plānots, ņemot vērā 201</w:t>
      </w:r>
      <w:r w:rsidR="006179BD">
        <w:rPr>
          <w:rFonts w:ascii="Times New Roman" w:hAnsi="Times New Roman" w:cs="Times New Roman"/>
          <w:sz w:val="24"/>
          <w:szCs w:val="24"/>
        </w:rPr>
        <w:t>8</w:t>
      </w:r>
      <w:r w:rsidRPr="005D65DE">
        <w:rPr>
          <w:rFonts w:ascii="Times New Roman" w:hAnsi="Times New Roman" w:cs="Times New Roman"/>
          <w:sz w:val="24"/>
          <w:szCs w:val="24"/>
        </w:rPr>
        <w:t xml:space="preserve">. gada valsts budžetā un normatīvajos aktos pašvaldībai paredzēto finansējumu, kā arī finansējumu par ES fondu apguvi. </w:t>
      </w:r>
    </w:p>
    <w:p w:rsidR="006F778A" w:rsidRPr="005D65DE" w:rsidRDefault="00B142CB"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Priekules</w:t>
      </w:r>
      <w:r w:rsidR="006F778A" w:rsidRPr="005D65DE">
        <w:rPr>
          <w:rFonts w:ascii="Times New Roman" w:hAnsi="Times New Roman" w:cs="Times New Roman"/>
          <w:sz w:val="24"/>
          <w:szCs w:val="24"/>
        </w:rPr>
        <w:t xml:space="preserve"> novada pašvaldības ieņēmumu plānā mērķdotācija izglītības funk</w:t>
      </w:r>
      <w:r w:rsidRPr="005D65DE">
        <w:rPr>
          <w:rFonts w:ascii="Times New Roman" w:hAnsi="Times New Roman" w:cs="Times New Roman"/>
          <w:sz w:val="24"/>
          <w:szCs w:val="24"/>
        </w:rPr>
        <w:t>ciju nodrošināšanai plānota 2017</w:t>
      </w:r>
      <w:r w:rsidR="006F778A" w:rsidRPr="005D65DE">
        <w:rPr>
          <w:rFonts w:ascii="Times New Roman" w:hAnsi="Times New Roman" w:cs="Times New Roman"/>
          <w:sz w:val="24"/>
          <w:szCs w:val="24"/>
        </w:rPr>
        <w:t>. gada astoņiem mēnešiem saskaņā ar likumu „Par valsts budžetu 201</w:t>
      </w:r>
      <w:r w:rsidRPr="005D65DE">
        <w:rPr>
          <w:rFonts w:ascii="Times New Roman" w:hAnsi="Times New Roman" w:cs="Times New Roman"/>
          <w:sz w:val="24"/>
          <w:szCs w:val="24"/>
        </w:rPr>
        <w:t>7</w:t>
      </w:r>
      <w:r w:rsidR="006F778A" w:rsidRPr="005D65DE">
        <w:rPr>
          <w:rFonts w:ascii="Times New Roman" w:hAnsi="Times New Roman" w:cs="Times New Roman"/>
          <w:sz w:val="24"/>
          <w:szCs w:val="24"/>
        </w:rPr>
        <w:t xml:space="preserve">. gadam” un sastāda </w:t>
      </w:r>
      <w:r w:rsidR="002C3948" w:rsidRPr="005D65DE">
        <w:rPr>
          <w:rFonts w:ascii="Times New Roman" w:hAnsi="Times New Roman" w:cs="Times New Roman"/>
          <w:sz w:val="24"/>
          <w:szCs w:val="24"/>
        </w:rPr>
        <w:t>1</w:t>
      </w:r>
      <w:r w:rsidR="00F37506" w:rsidRPr="005D65DE">
        <w:rPr>
          <w:rFonts w:ascii="Times New Roman" w:hAnsi="Times New Roman" w:cs="Times New Roman"/>
          <w:sz w:val="24"/>
          <w:szCs w:val="24"/>
        </w:rPr>
        <w:t xml:space="preserve"> </w:t>
      </w:r>
      <w:r w:rsidR="002C3948" w:rsidRPr="005D65DE">
        <w:rPr>
          <w:rFonts w:ascii="Times New Roman" w:hAnsi="Times New Roman" w:cs="Times New Roman"/>
          <w:sz w:val="24"/>
          <w:szCs w:val="24"/>
        </w:rPr>
        <w:t>069</w:t>
      </w:r>
      <w:r w:rsidR="00F37506" w:rsidRPr="005D65DE">
        <w:rPr>
          <w:rFonts w:ascii="Times New Roman" w:hAnsi="Times New Roman" w:cs="Times New Roman"/>
          <w:sz w:val="24"/>
          <w:szCs w:val="24"/>
        </w:rPr>
        <w:t xml:space="preserve"> </w:t>
      </w:r>
      <w:r w:rsidR="002C3948" w:rsidRPr="005D65DE">
        <w:rPr>
          <w:rFonts w:ascii="Times New Roman" w:hAnsi="Times New Roman" w:cs="Times New Roman"/>
          <w:sz w:val="24"/>
          <w:szCs w:val="24"/>
        </w:rPr>
        <w:t>69</w:t>
      </w:r>
      <w:r w:rsidR="00F37506" w:rsidRPr="005D65DE">
        <w:rPr>
          <w:rFonts w:ascii="Times New Roman" w:hAnsi="Times New Roman" w:cs="Times New Roman"/>
          <w:sz w:val="24"/>
          <w:szCs w:val="24"/>
        </w:rPr>
        <w:t>9</w:t>
      </w:r>
      <w:r w:rsidR="006F778A" w:rsidRPr="005D65DE">
        <w:rPr>
          <w:rFonts w:ascii="Times New Roman" w:hAnsi="Times New Roman" w:cs="Times New Roman"/>
          <w:sz w:val="24"/>
          <w:szCs w:val="24"/>
        </w:rPr>
        <w:t xml:space="preserve"> EUR, kas salīdzinot ar iepriekšējā gada attiecīgo periodu, ir </w:t>
      </w:r>
      <w:r w:rsidR="00A27149" w:rsidRPr="005D65DE">
        <w:rPr>
          <w:rFonts w:ascii="Times New Roman" w:hAnsi="Times New Roman" w:cs="Times New Roman"/>
          <w:sz w:val="24"/>
          <w:szCs w:val="24"/>
        </w:rPr>
        <w:t>mazāk</w:t>
      </w:r>
      <w:r w:rsidR="005E5BF6" w:rsidRPr="005D65DE">
        <w:rPr>
          <w:rFonts w:ascii="Times New Roman" w:hAnsi="Times New Roman" w:cs="Times New Roman"/>
          <w:sz w:val="24"/>
          <w:szCs w:val="24"/>
        </w:rPr>
        <w:t xml:space="preserve"> nekā 2017.gadā</w:t>
      </w:r>
      <w:r w:rsidR="006F778A" w:rsidRPr="005D65DE">
        <w:rPr>
          <w:rFonts w:ascii="Times New Roman" w:hAnsi="Times New Roman" w:cs="Times New Roman"/>
          <w:sz w:val="24"/>
          <w:szCs w:val="24"/>
        </w:rPr>
        <w:t xml:space="preserve">.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Kultūras ministrijas dotācija </w:t>
      </w:r>
      <w:r w:rsidR="00AC681A" w:rsidRPr="005D65DE">
        <w:rPr>
          <w:rFonts w:ascii="Times New Roman" w:hAnsi="Times New Roman" w:cs="Times New Roman"/>
          <w:sz w:val="24"/>
          <w:szCs w:val="24"/>
        </w:rPr>
        <w:t xml:space="preserve">mūzikas un </w:t>
      </w:r>
      <w:r w:rsidRPr="005D65DE">
        <w:rPr>
          <w:rFonts w:ascii="Times New Roman" w:hAnsi="Times New Roman" w:cs="Times New Roman"/>
          <w:sz w:val="24"/>
          <w:szCs w:val="24"/>
        </w:rPr>
        <w:t>mākslas skol</w:t>
      </w:r>
      <w:r w:rsidR="00AC681A" w:rsidRPr="005D65DE">
        <w:rPr>
          <w:rFonts w:ascii="Times New Roman" w:hAnsi="Times New Roman" w:cs="Times New Roman"/>
          <w:sz w:val="24"/>
          <w:szCs w:val="24"/>
        </w:rPr>
        <w:t>ām</w:t>
      </w:r>
      <w:r w:rsidRPr="005D65DE">
        <w:rPr>
          <w:rFonts w:ascii="Times New Roman" w:hAnsi="Times New Roman" w:cs="Times New Roman"/>
          <w:sz w:val="24"/>
          <w:szCs w:val="24"/>
        </w:rPr>
        <w:t xml:space="preserve"> būs </w:t>
      </w:r>
      <w:r w:rsidR="00AC681A" w:rsidRPr="005D65DE">
        <w:rPr>
          <w:rFonts w:ascii="Times New Roman" w:hAnsi="Times New Roman" w:cs="Times New Roman"/>
          <w:sz w:val="24"/>
          <w:szCs w:val="24"/>
        </w:rPr>
        <w:t xml:space="preserve">110 </w:t>
      </w:r>
      <w:r w:rsidR="0056443D" w:rsidRPr="005D65DE">
        <w:rPr>
          <w:rFonts w:ascii="Times New Roman" w:hAnsi="Times New Roman" w:cs="Times New Roman"/>
          <w:sz w:val="24"/>
          <w:szCs w:val="24"/>
        </w:rPr>
        <w:t>960</w:t>
      </w:r>
      <w:r w:rsidRPr="005D65DE">
        <w:rPr>
          <w:rFonts w:ascii="Times New Roman" w:hAnsi="Times New Roman" w:cs="Times New Roman"/>
          <w:sz w:val="24"/>
          <w:szCs w:val="24"/>
        </w:rPr>
        <w:t xml:space="preserve"> EUR apmērā, </w:t>
      </w:r>
      <w:r w:rsidR="00AC681A" w:rsidRPr="005D65DE">
        <w:rPr>
          <w:rFonts w:ascii="Times New Roman" w:hAnsi="Times New Roman" w:cs="Times New Roman"/>
          <w:sz w:val="24"/>
          <w:szCs w:val="24"/>
        </w:rPr>
        <w:t>nauda šobrīd iedalīta 8 mēnešiem.</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Izglītības un zinātnes ministrijas finansējums mācību līdzekļu un literatūras iegādei plānots</w:t>
      </w:r>
      <w:r w:rsidR="00AC681A" w:rsidRPr="005D65DE">
        <w:rPr>
          <w:rFonts w:ascii="Times New Roman" w:hAnsi="Times New Roman" w:cs="Times New Roman"/>
          <w:sz w:val="24"/>
          <w:szCs w:val="24"/>
        </w:rPr>
        <w:t xml:space="preserve"> 12 </w:t>
      </w:r>
      <w:r w:rsidR="0056443D" w:rsidRPr="005D65DE">
        <w:rPr>
          <w:rFonts w:ascii="Times New Roman" w:hAnsi="Times New Roman" w:cs="Times New Roman"/>
          <w:sz w:val="24"/>
          <w:szCs w:val="24"/>
        </w:rPr>
        <w:t>051</w:t>
      </w:r>
      <w:r w:rsidR="00AC681A" w:rsidRPr="005D65DE">
        <w:rPr>
          <w:rFonts w:ascii="Times New Roman" w:hAnsi="Times New Roman" w:cs="Times New Roman"/>
          <w:sz w:val="24"/>
          <w:szCs w:val="24"/>
        </w:rPr>
        <w:t xml:space="preserve"> </w:t>
      </w:r>
      <w:r w:rsidRPr="005D65DE">
        <w:rPr>
          <w:rFonts w:ascii="Times New Roman" w:hAnsi="Times New Roman" w:cs="Times New Roman"/>
          <w:sz w:val="24"/>
          <w:szCs w:val="24"/>
        </w:rPr>
        <w:t>EUR apmērā, t.i., 18,</w:t>
      </w:r>
      <w:r w:rsidR="004308A1" w:rsidRPr="005D65DE">
        <w:rPr>
          <w:rFonts w:ascii="Times New Roman" w:hAnsi="Times New Roman" w:cs="Times New Roman"/>
          <w:sz w:val="24"/>
          <w:szCs w:val="24"/>
        </w:rPr>
        <w:t>65</w:t>
      </w:r>
      <w:r w:rsidRPr="005D65DE">
        <w:rPr>
          <w:rFonts w:ascii="Times New Roman" w:hAnsi="Times New Roman" w:cs="Times New Roman"/>
          <w:sz w:val="24"/>
          <w:szCs w:val="24"/>
        </w:rPr>
        <w:t xml:space="preserve"> EUR uz vienu izglītojamo. </w:t>
      </w:r>
    </w:p>
    <w:p w:rsidR="006F778A" w:rsidRPr="005D65DE" w:rsidRDefault="006F778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Valsts budžeta dotācijas apmērs 1., 2., 3. un 4. klases skolēnu ēdināšanas nodrošināšanai plānots </w:t>
      </w:r>
      <w:r w:rsidR="00A85721" w:rsidRPr="005D65DE">
        <w:rPr>
          <w:rFonts w:ascii="Times New Roman" w:hAnsi="Times New Roman" w:cs="Times New Roman"/>
          <w:sz w:val="24"/>
          <w:szCs w:val="24"/>
        </w:rPr>
        <w:t>50 354</w:t>
      </w:r>
      <w:r w:rsidRPr="005D65DE">
        <w:rPr>
          <w:rFonts w:ascii="Times New Roman" w:hAnsi="Times New Roman" w:cs="Times New Roman"/>
          <w:sz w:val="24"/>
          <w:szCs w:val="24"/>
        </w:rPr>
        <w:t xml:space="preserve"> EUR. Valsts budžeta finansējums nodrošina ēdināšanas izdevumu apmaksu 1,42</w:t>
      </w:r>
      <w:r w:rsidR="00AC681A" w:rsidRPr="005D65DE">
        <w:rPr>
          <w:rFonts w:ascii="Times New Roman" w:hAnsi="Times New Roman" w:cs="Times New Roman"/>
          <w:sz w:val="24"/>
          <w:szCs w:val="24"/>
        </w:rPr>
        <w:t xml:space="preserve"> EUR vērtībā vienam skolēnam dienā. Atkarībā no skolēnu skaita izmaiņām budžeta izpildes gaitā iespējamas izmaiņas finansējuma apjomā.</w:t>
      </w:r>
    </w:p>
    <w:p w:rsidR="00AC681A" w:rsidRPr="005D65DE" w:rsidRDefault="00AC681A" w:rsidP="00A3137D">
      <w:pPr>
        <w:pStyle w:val="Default"/>
        <w:spacing w:line="276" w:lineRule="auto"/>
        <w:ind w:firstLine="720"/>
        <w:jc w:val="both"/>
        <w:rPr>
          <w:color w:val="auto"/>
          <w:sz w:val="23"/>
          <w:szCs w:val="23"/>
        </w:rPr>
      </w:pPr>
      <w:r w:rsidRPr="005D65DE">
        <w:rPr>
          <w:color w:val="auto"/>
          <w:sz w:val="23"/>
          <w:szCs w:val="23"/>
        </w:rPr>
        <w:t xml:space="preserve">Mērķdotācija pašvaldību māksliniecisko kolektīvu atlīdzībai plānota </w:t>
      </w:r>
      <w:r w:rsidR="00C94FBC" w:rsidRPr="005D65DE">
        <w:rPr>
          <w:color w:val="auto"/>
          <w:sz w:val="23"/>
          <w:szCs w:val="23"/>
        </w:rPr>
        <w:t>2070</w:t>
      </w:r>
      <w:r w:rsidRPr="005D65DE">
        <w:rPr>
          <w:color w:val="auto"/>
          <w:sz w:val="23"/>
          <w:szCs w:val="23"/>
        </w:rPr>
        <w:t xml:space="preserve"> EUR apmērā. </w:t>
      </w:r>
    </w:p>
    <w:p w:rsidR="00AC681A" w:rsidRPr="005D65DE" w:rsidRDefault="00AC681A" w:rsidP="00A3137D">
      <w:pPr>
        <w:pStyle w:val="Default"/>
        <w:spacing w:line="276" w:lineRule="auto"/>
        <w:ind w:firstLine="720"/>
        <w:jc w:val="both"/>
        <w:rPr>
          <w:color w:val="auto"/>
          <w:sz w:val="23"/>
          <w:szCs w:val="23"/>
        </w:rPr>
      </w:pPr>
      <w:r w:rsidRPr="005D65DE">
        <w:rPr>
          <w:color w:val="auto"/>
          <w:sz w:val="23"/>
          <w:szCs w:val="23"/>
        </w:rPr>
        <w:t xml:space="preserve">Labklājības ministrijas finansējums asistenta pakalpojumu nodrošināšanai personām, kurām noteikta I un II invaliditātes grupa un personām no 5 līdz 18 gadu vecumam, kurām izsniegts atzinums par īpašas kopšanas nepieciešamību, plānots </w:t>
      </w:r>
      <w:r w:rsidR="00C94FBC" w:rsidRPr="005D65DE">
        <w:rPr>
          <w:color w:val="auto"/>
          <w:sz w:val="23"/>
          <w:szCs w:val="23"/>
        </w:rPr>
        <w:t>26 500</w:t>
      </w:r>
      <w:r w:rsidRPr="005D65DE">
        <w:rPr>
          <w:color w:val="auto"/>
          <w:sz w:val="23"/>
          <w:szCs w:val="23"/>
        </w:rPr>
        <w:t xml:space="preserve"> EUR. </w:t>
      </w:r>
    </w:p>
    <w:p w:rsidR="00AC681A" w:rsidRPr="005D65DE" w:rsidRDefault="00AC681A" w:rsidP="00A3137D">
      <w:pPr>
        <w:pStyle w:val="Default"/>
        <w:spacing w:line="276" w:lineRule="auto"/>
        <w:ind w:firstLine="720"/>
        <w:jc w:val="both"/>
        <w:rPr>
          <w:color w:val="auto"/>
          <w:sz w:val="23"/>
          <w:szCs w:val="23"/>
        </w:rPr>
      </w:pPr>
      <w:r w:rsidRPr="005D65DE">
        <w:rPr>
          <w:color w:val="auto"/>
          <w:sz w:val="23"/>
          <w:szCs w:val="23"/>
        </w:rPr>
        <w:t>Dotācija no pašvaldību finanšu izlīdzināšanas fonda plānota</w:t>
      </w:r>
      <w:r w:rsidR="004308A1" w:rsidRPr="005D65DE">
        <w:rPr>
          <w:color w:val="auto"/>
          <w:sz w:val="23"/>
          <w:szCs w:val="23"/>
        </w:rPr>
        <w:t xml:space="preserve"> 1 298 481</w:t>
      </w:r>
      <w:r w:rsidRPr="005D65DE">
        <w:rPr>
          <w:color w:val="auto"/>
          <w:sz w:val="23"/>
          <w:szCs w:val="23"/>
        </w:rPr>
        <w:t xml:space="preserve"> EUR, tajā skaitā prognoze kārtējam gadam 1</w:t>
      </w:r>
      <w:r w:rsidR="004308A1" w:rsidRPr="005D65DE">
        <w:rPr>
          <w:color w:val="auto"/>
          <w:sz w:val="23"/>
          <w:szCs w:val="23"/>
        </w:rPr>
        <w:t> 262 775</w:t>
      </w:r>
      <w:r w:rsidRPr="005D65DE">
        <w:rPr>
          <w:color w:val="auto"/>
          <w:sz w:val="23"/>
          <w:szCs w:val="23"/>
        </w:rPr>
        <w:t xml:space="preserve">  EUR un 201</w:t>
      </w:r>
      <w:r w:rsidR="004308A1" w:rsidRPr="005D65DE">
        <w:rPr>
          <w:color w:val="auto"/>
          <w:sz w:val="23"/>
          <w:szCs w:val="23"/>
        </w:rPr>
        <w:t>7</w:t>
      </w:r>
      <w:r w:rsidRPr="005D65DE">
        <w:rPr>
          <w:color w:val="auto"/>
          <w:sz w:val="23"/>
          <w:szCs w:val="23"/>
        </w:rPr>
        <w:t xml:space="preserve">. gada nesadalītais atlikums </w:t>
      </w:r>
      <w:r w:rsidR="004308A1" w:rsidRPr="005D65DE">
        <w:rPr>
          <w:color w:val="auto"/>
          <w:sz w:val="23"/>
          <w:szCs w:val="23"/>
        </w:rPr>
        <w:t>35 706</w:t>
      </w:r>
      <w:r w:rsidRPr="005D65DE">
        <w:rPr>
          <w:color w:val="auto"/>
          <w:sz w:val="23"/>
          <w:szCs w:val="23"/>
        </w:rPr>
        <w:t xml:space="preserve"> EUR. </w:t>
      </w:r>
    </w:p>
    <w:p w:rsidR="000F7512" w:rsidRPr="005D65DE" w:rsidRDefault="00AC681A"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Finansējums ES fondu līdzfinansētiem projektiem plānots </w:t>
      </w:r>
      <w:r w:rsidR="00997686" w:rsidRPr="005D65DE">
        <w:rPr>
          <w:rFonts w:ascii="Times New Roman" w:hAnsi="Times New Roman" w:cs="Times New Roman"/>
          <w:sz w:val="24"/>
          <w:szCs w:val="24"/>
        </w:rPr>
        <w:t>1 758 430</w:t>
      </w:r>
      <w:r w:rsidRPr="005D65DE">
        <w:rPr>
          <w:rFonts w:ascii="Times New Roman" w:hAnsi="Times New Roman" w:cs="Times New Roman"/>
          <w:sz w:val="24"/>
          <w:szCs w:val="24"/>
        </w:rPr>
        <w:t xml:space="preserve"> EUR, pārējais valsts budžeta finansējums noteiktiem mērķiem </w:t>
      </w:r>
      <w:r w:rsidR="00A85721" w:rsidRPr="005D65DE">
        <w:rPr>
          <w:rFonts w:ascii="Times New Roman" w:hAnsi="Times New Roman" w:cs="Times New Roman"/>
          <w:sz w:val="24"/>
          <w:szCs w:val="24"/>
        </w:rPr>
        <w:t>89 690</w:t>
      </w:r>
      <w:r w:rsidRPr="005D65DE">
        <w:rPr>
          <w:rFonts w:ascii="Times New Roman" w:hAnsi="Times New Roman" w:cs="Times New Roman"/>
          <w:sz w:val="24"/>
          <w:szCs w:val="24"/>
        </w:rPr>
        <w:t xml:space="preserve"> EUR. </w:t>
      </w:r>
    </w:p>
    <w:p w:rsidR="000F7512" w:rsidRDefault="000F7512" w:rsidP="00A3137D">
      <w:pPr>
        <w:spacing w:after="0"/>
        <w:ind w:firstLine="720"/>
        <w:jc w:val="both"/>
        <w:rPr>
          <w:rFonts w:ascii="Times New Roman" w:hAnsi="Times New Roman" w:cs="Times New Roman"/>
          <w:sz w:val="24"/>
          <w:szCs w:val="24"/>
        </w:rPr>
      </w:pPr>
      <w:r w:rsidRPr="005D65DE">
        <w:rPr>
          <w:rFonts w:ascii="Times New Roman" w:hAnsi="Times New Roman" w:cs="Times New Roman"/>
          <w:sz w:val="24"/>
          <w:szCs w:val="24"/>
        </w:rPr>
        <w:t xml:space="preserve">Pašvaldību budžetu </w:t>
      </w:r>
      <w:proofErr w:type="spellStart"/>
      <w:r w:rsidRPr="005D65DE">
        <w:rPr>
          <w:rFonts w:ascii="Times New Roman" w:hAnsi="Times New Roman" w:cs="Times New Roman"/>
          <w:sz w:val="24"/>
          <w:szCs w:val="24"/>
        </w:rPr>
        <w:t>transferti</w:t>
      </w:r>
      <w:proofErr w:type="spellEnd"/>
      <w:r w:rsidRPr="005D65DE">
        <w:rPr>
          <w:rFonts w:ascii="Times New Roman" w:hAnsi="Times New Roman" w:cs="Times New Roman"/>
          <w:sz w:val="24"/>
          <w:szCs w:val="24"/>
        </w:rPr>
        <w:t xml:space="preserve"> plānoti </w:t>
      </w:r>
      <w:r w:rsidR="00C94FBC" w:rsidRPr="005D65DE">
        <w:rPr>
          <w:rFonts w:ascii="Times New Roman" w:hAnsi="Times New Roman" w:cs="Times New Roman"/>
          <w:sz w:val="24"/>
          <w:szCs w:val="24"/>
        </w:rPr>
        <w:t>92</w:t>
      </w:r>
      <w:r w:rsidRPr="005D65DE">
        <w:rPr>
          <w:rFonts w:ascii="Times New Roman" w:hAnsi="Times New Roman" w:cs="Times New Roman"/>
          <w:sz w:val="24"/>
          <w:szCs w:val="24"/>
        </w:rPr>
        <w:t xml:space="preserve"> 000 EUR apjomā (1,</w:t>
      </w:r>
      <w:r w:rsidR="00A85721" w:rsidRPr="005D65DE">
        <w:rPr>
          <w:rFonts w:ascii="Times New Roman" w:hAnsi="Times New Roman" w:cs="Times New Roman"/>
          <w:sz w:val="24"/>
          <w:szCs w:val="24"/>
        </w:rPr>
        <w:t>2</w:t>
      </w:r>
      <w:r w:rsidRPr="005D65DE">
        <w:rPr>
          <w:rFonts w:ascii="Times New Roman" w:hAnsi="Times New Roman" w:cs="Times New Roman"/>
          <w:sz w:val="24"/>
          <w:szCs w:val="24"/>
        </w:rPr>
        <w:t>% no kopējiem pamatbudžeta ieņēmumiem). Tie ir ieņēmumi no citām pašvaldībām par izglītības pakalpojumu nodrošināšanu.</w:t>
      </w:r>
    </w:p>
    <w:p w:rsidR="00787226" w:rsidRPr="000F7512" w:rsidRDefault="00787226" w:rsidP="00A3137D">
      <w:pPr>
        <w:ind w:firstLine="720"/>
        <w:jc w:val="both"/>
        <w:rPr>
          <w:rFonts w:ascii="Times New Roman" w:hAnsi="Times New Roman" w:cs="Times New Roman"/>
          <w:sz w:val="24"/>
          <w:szCs w:val="24"/>
        </w:rPr>
      </w:pPr>
    </w:p>
    <w:p w:rsidR="00AC681A" w:rsidRDefault="00AC681A" w:rsidP="00A3137D">
      <w:pPr>
        <w:pStyle w:val="Default"/>
        <w:spacing w:line="276" w:lineRule="auto"/>
        <w:ind w:firstLine="720"/>
        <w:jc w:val="both"/>
        <w:rPr>
          <w:color w:val="auto"/>
          <w:sz w:val="23"/>
          <w:szCs w:val="23"/>
        </w:rPr>
      </w:pPr>
    </w:p>
    <w:p w:rsidR="00787226" w:rsidRDefault="006F02AC" w:rsidP="00A3137D">
      <w:pPr>
        <w:pStyle w:val="Default"/>
        <w:spacing w:line="276" w:lineRule="auto"/>
        <w:jc w:val="both"/>
        <w:rPr>
          <w:color w:val="auto"/>
          <w:sz w:val="23"/>
          <w:szCs w:val="23"/>
        </w:rPr>
      </w:pPr>
      <w:r>
        <w:rPr>
          <w:noProof/>
          <w:lang w:eastAsia="lv-LV"/>
        </w:rPr>
        <w:lastRenderedPageBreak/>
        <w:drawing>
          <wp:inline distT="0" distB="0" distL="0" distR="0" wp14:anchorId="085B3499" wp14:editId="50199B05">
            <wp:extent cx="5579745" cy="3922395"/>
            <wp:effectExtent l="0" t="0" r="1905" b="190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7910507-EBD3-464F-B29F-0BBF4678E1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778A" w:rsidRDefault="00787226" w:rsidP="00D87750">
      <w:pPr>
        <w:pStyle w:val="Default"/>
        <w:spacing w:line="276" w:lineRule="auto"/>
        <w:jc w:val="center"/>
        <w:rPr>
          <w:color w:val="auto"/>
        </w:rPr>
      </w:pPr>
      <w:r>
        <w:rPr>
          <w:color w:val="auto"/>
        </w:rPr>
        <w:t>1.att. Pamatbudžeta ieņēmumu struktūra.</w:t>
      </w:r>
    </w:p>
    <w:p w:rsidR="00787226" w:rsidRDefault="00787226" w:rsidP="00A3137D">
      <w:pPr>
        <w:pStyle w:val="Default"/>
        <w:spacing w:line="276" w:lineRule="auto"/>
        <w:jc w:val="both"/>
        <w:rPr>
          <w:color w:val="auto"/>
        </w:rPr>
      </w:pPr>
    </w:p>
    <w:p w:rsidR="00343991" w:rsidRPr="004B06A8" w:rsidRDefault="00343991" w:rsidP="00C77F87">
      <w:pPr>
        <w:jc w:val="center"/>
        <w:rPr>
          <w:rFonts w:ascii="Times New Roman" w:hAnsi="Times New Roman" w:cs="Times New Roman"/>
          <w:b/>
          <w:sz w:val="24"/>
          <w:szCs w:val="24"/>
        </w:rPr>
      </w:pPr>
      <w:r w:rsidRPr="004B06A8">
        <w:rPr>
          <w:rFonts w:ascii="Times New Roman" w:hAnsi="Times New Roman" w:cs="Times New Roman"/>
          <w:b/>
          <w:sz w:val="24"/>
          <w:szCs w:val="24"/>
        </w:rPr>
        <w:t>Priekules novada pašvaldības 201</w:t>
      </w:r>
      <w:r w:rsidR="00A85721">
        <w:rPr>
          <w:rFonts w:ascii="Times New Roman" w:hAnsi="Times New Roman" w:cs="Times New Roman"/>
          <w:b/>
          <w:sz w:val="24"/>
          <w:szCs w:val="24"/>
        </w:rPr>
        <w:t>8</w:t>
      </w:r>
      <w:r w:rsidRPr="004B06A8">
        <w:rPr>
          <w:rFonts w:ascii="Times New Roman" w:hAnsi="Times New Roman" w:cs="Times New Roman"/>
          <w:b/>
          <w:sz w:val="24"/>
          <w:szCs w:val="24"/>
        </w:rPr>
        <w:t>.gada pamatbudžeta izdevumu prognoze</w:t>
      </w:r>
    </w:p>
    <w:p w:rsidR="00343991" w:rsidRPr="004B06A8" w:rsidRDefault="00757E3E" w:rsidP="00A3137D">
      <w:pPr>
        <w:ind w:firstLine="720"/>
        <w:jc w:val="both"/>
        <w:rPr>
          <w:rFonts w:ascii="Times New Roman" w:hAnsi="Times New Roman" w:cs="Times New Roman"/>
          <w:sz w:val="24"/>
          <w:szCs w:val="24"/>
        </w:rPr>
      </w:pPr>
      <w:r w:rsidRPr="004B06A8">
        <w:rPr>
          <w:rFonts w:ascii="Times New Roman" w:hAnsi="Times New Roman" w:cs="Times New Roman"/>
          <w:sz w:val="24"/>
          <w:szCs w:val="24"/>
        </w:rPr>
        <w:t>Priekules novada pašvaldības ieņēmumi tiek novirzīti pašvaldības funkciju izpildes nodrošināšanai – izdevumiem no budžeta finansētām institūcijām - pašvaldības izglītības, kultūras un sporta iestādēm, struktūrvienībām, pasākumu finansēšanai, infrastruktūras uzturēšanai, pabalstiem maznodrošinātajiem iedzīvotājiem, projektu finansēšanai un citiem izdevumiem, kas paredzēti 201</w:t>
      </w:r>
      <w:r w:rsidR="00A85721">
        <w:rPr>
          <w:rFonts w:ascii="Times New Roman" w:hAnsi="Times New Roman" w:cs="Times New Roman"/>
          <w:sz w:val="24"/>
          <w:szCs w:val="24"/>
        </w:rPr>
        <w:t>8</w:t>
      </w:r>
      <w:r w:rsidRPr="004B06A8">
        <w:rPr>
          <w:rFonts w:ascii="Times New Roman" w:hAnsi="Times New Roman" w:cs="Times New Roman"/>
          <w:sz w:val="24"/>
          <w:szCs w:val="24"/>
        </w:rPr>
        <w:t>.gada budžetā.</w:t>
      </w:r>
    </w:p>
    <w:p w:rsidR="00757E3E" w:rsidRDefault="00757E3E" w:rsidP="00A3137D">
      <w:pPr>
        <w:pStyle w:val="Default"/>
        <w:spacing w:line="276" w:lineRule="auto"/>
        <w:ind w:firstLine="720"/>
        <w:jc w:val="both"/>
        <w:rPr>
          <w:color w:val="auto"/>
        </w:rPr>
      </w:pPr>
      <w:r w:rsidRPr="004B06A8">
        <w:t>Pamatbudžeta izdevumu kopējais apjoms 201</w:t>
      </w:r>
      <w:r w:rsidR="001C5F51">
        <w:t>8</w:t>
      </w:r>
      <w:r w:rsidRPr="004B06A8">
        <w:t xml:space="preserve">. gadam plānots </w:t>
      </w:r>
      <w:r w:rsidR="001C5F51">
        <w:t>8 715 929</w:t>
      </w:r>
      <w:r w:rsidRPr="004B06A8">
        <w:t xml:space="preserve"> EUR apmērā. Budžeta gada laikā izdevumu apjoms, kas tiks finansēts no aizņēmumu līdzekļiem, var pieaugt atkarībā no īstenojamo investīciju projektu apjomiem, kas tiks noteikti iepirkumu rezultātā. </w:t>
      </w:r>
      <w:r w:rsidRPr="004B06A8">
        <w:tab/>
        <w:t>Priekules novada pašvaldības domes saistošo noteikumu „Par Priekules novada pašvaldības 201</w:t>
      </w:r>
      <w:r w:rsidR="001C5F51">
        <w:t>8</w:t>
      </w:r>
      <w:r w:rsidRPr="004B06A8">
        <w:t xml:space="preserve">. gada budžetu” 1.pielikumā ir redzams kopsavilkums par pamatbudžeta izdevumu apjomiem </w:t>
      </w:r>
      <w:r w:rsidRPr="004B06A8">
        <w:rPr>
          <w:color w:val="auto"/>
        </w:rPr>
        <w:t>attiecīgajā funkcijā, t.i., nozaru griezumā. Funkciju sadalījums veidots saskaņā ar normatīvajiem aktiem par izdevumu klasifikāciju.</w:t>
      </w:r>
    </w:p>
    <w:p w:rsidR="001803A8" w:rsidRDefault="001803A8" w:rsidP="00A3137D">
      <w:pPr>
        <w:pStyle w:val="Default"/>
        <w:spacing w:line="276" w:lineRule="auto"/>
        <w:ind w:firstLine="720"/>
        <w:jc w:val="both"/>
        <w:rPr>
          <w:color w:val="auto"/>
        </w:rPr>
      </w:pPr>
    </w:p>
    <w:p w:rsidR="00890746" w:rsidRDefault="00890746">
      <w:pPr>
        <w:rPr>
          <w:rFonts w:ascii="Times New Roman" w:hAnsi="Times New Roman" w:cs="Times New Roman"/>
          <w:b/>
        </w:rPr>
      </w:pPr>
      <w:r>
        <w:rPr>
          <w:rFonts w:ascii="Times New Roman" w:hAnsi="Times New Roman" w:cs="Times New Roman"/>
          <w:b/>
        </w:rPr>
        <w:br w:type="page"/>
      </w:r>
    </w:p>
    <w:p w:rsidR="001803A8" w:rsidRPr="004B5144" w:rsidRDefault="001803A8" w:rsidP="001803A8">
      <w:pPr>
        <w:jc w:val="center"/>
        <w:rPr>
          <w:rFonts w:ascii="Times New Roman" w:hAnsi="Times New Roman" w:cs="Times New Roman"/>
          <w:b/>
          <w:color w:val="4F6228" w:themeColor="accent3" w:themeShade="80"/>
        </w:rPr>
      </w:pPr>
      <w:r w:rsidRPr="004B5144">
        <w:rPr>
          <w:rFonts w:ascii="Times New Roman" w:hAnsi="Times New Roman" w:cs="Times New Roman"/>
          <w:b/>
          <w:color w:val="4F6228" w:themeColor="accent3" w:themeShade="80"/>
        </w:rPr>
        <w:lastRenderedPageBreak/>
        <w:t>Pašvaldības 201</w:t>
      </w:r>
      <w:r w:rsidR="001C5F51" w:rsidRPr="004B5144">
        <w:rPr>
          <w:rFonts w:ascii="Times New Roman" w:hAnsi="Times New Roman" w:cs="Times New Roman"/>
          <w:b/>
          <w:color w:val="4F6228" w:themeColor="accent3" w:themeShade="80"/>
        </w:rPr>
        <w:t>8</w:t>
      </w:r>
      <w:r w:rsidRPr="004B5144">
        <w:rPr>
          <w:rFonts w:ascii="Times New Roman" w:hAnsi="Times New Roman" w:cs="Times New Roman"/>
          <w:b/>
          <w:color w:val="4F6228" w:themeColor="accent3" w:themeShade="80"/>
        </w:rPr>
        <w:t>.gada pamatbudžeta izdevumi funkcionālajā sadalījumā</w:t>
      </w:r>
    </w:p>
    <w:tbl>
      <w:tblPr>
        <w:tblW w:w="9229" w:type="dxa"/>
        <w:tblInd w:w="93" w:type="dxa"/>
        <w:tblLayout w:type="fixed"/>
        <w:tblLook w:val="04A0" w:firstRow="1" w:lastRow="0" w:firstColumn="1" w:lastColumn="0" w:noHBand="0" w:noVBand="1"/>
      </w:tblPr>
      <w:tblGrid>
        <w:gridCol w:w="2142"/>
        <w:gridCol w:w="1164"/>
        <w:gridCol w:w="1104"/>
        <w:gridCol w:w="1275"/>
        <w:gridCol w:w="1134"/>
        <w:gridCol w:w="1276"/>
        <w:gridCol w:w="1134"/>
      </w:tblGrid>
      <w:tr w:rsidR="001C5F51" w:rsidRPr="001803A8" w:rsidTr="0048390C">
        <w:trPr>
          <w:trHeight w:val="142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 </w:t>
            </w:r>
          </w:p>
        </w:tc>
        <w:tc>
          <w:tcPr>
            <w:tcW w:w="116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2016.gada izpilde EUR</w:t>
            </w:r>
          </w:p>
        </w:tc>
        <w:tc>
          <w:tcPr>
            <w:tcW w:w="110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Īpatsvars % pret kopējiem izdevumiem</w:t>
            </w:r>
          </w:p>
        </w:tc>
        <w:tc>
          <w:tcPr>
            <w:tcW w:w="127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2017.gada izpilde EUR</w:t>
            </w:r>
          </w:p>
        </w:tc>
        <w:tc>
          <w:tcPr>
            <w:tcW w:w="1134"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Īpatsvars % pret kopējiem izdevumiem</w:t>
            </w:r>
          </w:p>
        </w:tc>
        <w:tc>
          <w:tcPr>
            <w:tcW w:w="127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2018.gada plāns EUR</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Īpatsvars % pret kopējiem izdevumiem</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Vispārējie valdības dienesti</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832226</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13,21</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869715</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12,04</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894337</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10,26</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Ekonomiskā darbība</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435226</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6,91</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389163</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5,39</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2172048</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24,92</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Vides aizsardzība</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4029</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0,06</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719</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0,01</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0,00</w:t>
            </w:r>
          </w:p>
        </w:tc>
      </w:tr>
      <w:tr w:rsidR="001C5F51" w:rsidRPr="001803A8" w:rsidTr="0048390C">
        <w:trPr>
          <w:trHeight w:val="6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Pašvaldības teritoriju un mājokļu apsaimniekošana</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890638</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14,14</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1442221</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19,96</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1581289</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18,14</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Veselība</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61907</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0,98</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62895</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0,87</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73022</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0,84</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803A8">
              <w:rPr>
                <w:rFonts w:ascii="Times New Roman" w:eastAsia="Times New Roman" w:hAnsi="Times New Roman" w:cs="Times New Roman"/>
                <w:color w:val="000000"/>
                <w:lang w:eastAsia="lv-LV"/>
              </w:rPr>
              <w:t>Kultūra, sports, reliģija</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565624</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8,98</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665849</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9,22</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644643</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7,40</w:t>
            </w:r>
          </w:p>
        </w:tc>
      </w:tr>
      <w:tr w:rsidR="001C5F51" w:rsidRPr="001C5F51"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1C5F51" w:rsidRPr="001803A8" w:rsidRDefault="001C5F51" w:rsidP="001C5F51">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Izglītība</w:t>
            </w:r>
          </w:p>
        </w:tc>
        <w:tc>
          <w:tcPr>
            <w:tcW w:w="1164"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3169195</w:t>
            </w:r>
          </w:p>
        </w:tc>
        <w:tc>
          <w:tcPr>
            <w:tcW w:w="1104"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50,32</w:t>
            </w:r>
          </w:p>
        </w:tc>
        <w:tc>
          <w:tcPr>
            <w:tcW w:w="1275"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3416332</w:t>
            </w:r>
          </w:p>
        </w:tc>
        <w:tc>
          <w:tcPr>
            <w:tcW w:w="1134"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47,28</w:t>
            </w:r>
          </w:p>
        </w:tc>
        <w:tc>
          <w:tcPr>
            <w:tcW w:w="1276"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2894624</w:t>
            </w:r>
          </w:p>
        </w:tc>
        <w:tc>
          <w:tcPr>
            <w:tcW w:w="1134" w:type="dxa"/>
            <w:tcBorders>
              <w:top w:val="nil"/>
              <w:left w:val="single" w:sz="4" w:space="0" w:color="auto"/>
              <w:bottom w:val="single" w:sz="4" w:space="0" w:color="auto"/>
              <w:right w:val="single" w:sz="4" w:space="0" w:color="auto"/>
            </w:tcBorders>
            <w:shd w:val="clear" w:color="auto" w:fill="EAF1DD" w:themeFill="accent3" w:themeFillTint="33"/>
            <w:noWrap/>
            <w:vAlign w:val="center"/>
          </w:tcPr>
          <w:p w:rsidR="001C5F51" w:rsidRPr="001C5F51" w:rsidRDefault="001C5F51" w:rsidP="001C5F51">
            <w:pPr>
              <w:spacing w:after="0" w:line="240" w:lineRule="auto"/>
              <w:jc w:val="center"/>
              <w:rPr>
                <w:rFonts w:ascii="Times New Roman" w:eastAsia="Times New Roman" w:hAnsi="Times New Roman" w:cs="Times New Roman"/>
                <w:color w:val="000000"/>
                <w:lang w:eastAsia="lv-LV"/>
              </w:rPr>
            </w:pPr>
            <w:r w:rsidRPr="001C5F51">
              <w:rPr>
                <w:rFonts w:ascii="Times New Roman" w:eastAsia="Times New Roman" w:hAnsi="Times New Roman" w:cs="Times New Roman"/>
                <w:color w:val="000000"/>
                <w:lang w:eastAsia="lv-LV"/>
              </w:rPr>
              <w:t>33,21</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1C5F51" w:rsidRPr="001803A8" w:rsidRDefault="001C5F51" w:rsidP="001C5F51">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Sociālā aizsardzība</w:t>
            </w:r>
          </w:p>
        </w:tc>
        <w:tc>
          <w:tcPr>
            <w:tcW w:w="1164" w:type="dxa"/>
            <w:tcBorders>
              <w:top w:val="nil"/>
              <w:left w:val="nil"/>
              <w:bottom w:val="single" w:sz="4" w:space="0" w:color="auto"/>
              <w:right w:val="single" w:sz="4" w:space="0" w:color="auto"/>
            </w:tcBorders>
            <w:shd w:val="clear" w:color="auto" w:fill="C2D69B" w:themeFill="accent3" w:themeFillTint="99"/>
            <w:noWrap/>
            <w:vAlign w:val="center"/>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color w:val="000000"/>
                <w:lang w:eastAsia="lv-LV"/>
              </w:rPr>
              <w:t>339448</w:t>
            </w:r>
          </w:p>
        </w:tc>
        <w:tc>
          <w:tcPr>
            <w:tcW w:w="1104" w:type="dxa"/>
            <w:tcBorders>
              <w:top w:val="nil"/>
              <w:left w:val="nil"/>
              <w:bottom w:val="single" w:sz="4" w:space="0" w:color="auto"/>
              <w:right w:val="single" w:sz="4" w:space="0" w:color="auto"/>
            </w:tcBorders>
            <w:shd w:val="clear" w:color="auto" w:fill="C2D69B" w:themeFill="accent3" w:themeFillTint="99"/>
            <w:noWrap/>
            <w:vAlign w:val="center"/>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color w:val="000000"/>
                <w:lang w:eastAsia="lv-LV"/>
              </w:rPr>
              <w:t>5,39</w:t>
            </w:r>
          </w:p>
        </w:tc>
        <w:tc>
          <w:tcPr>
            <w:tcW w:w="1275" w:type="dxa"/>
            <w:tcBorders>
              <w:top w:val="nil"/>
              <w:left w:val="nil"/>
              <w:bottom w:val="single" w:sz="4" w:space="0" w:color="auto"/>
              <w:right w:val="single" w:sz="4" w:space="0" w:color="auto"/>
            </w:tcBorders>
            <w:shd w:val="clear" w:color="auto" w:fill="D6E3BC" w:themeFill="accent3" w:themeFillTint="66"/>
            <w:noWrap/>
            <w:vAlign w:val="center"/>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color w:val="000000"/>
                <w:lang w:eastAsia="lv-LV"/>
              </w:rPr>
              <w:t>378091</w:t>
            </w:r>
          </w:p>
        </w:tc>
        <w:tc>
          <w:tcPr>
            <w:tcW w:w="1134" w:type="dxa"/>
            <w:tcBorders>
              <w:top w:val="nil"/>
              <w:left w:val="nil"/>
              <w:bottom w:val="single" w:sz="4" w:space="0" w:color="auto"/>
              <w:right w:val="single" w:sz="4" w:space="0" w:color="auto"/>
            </w:tcBorders>
            <w:shd w:val="clear" w:color="auto" w:fill="D6E3BC" w:themeFill="accent3" w:themeFillTint="66"/>
            <w:noWrap/>
            <w:vAlign w:val="center"/>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color w:val="000000"/>
                <w:lang w:eastAsia="lv-LV"/>
              </w:rPr>
              <w:t>5,23</w:t>
            </w:r>
          </w:p>
        </w:tc>
        <w:tc>
          <w:tcPr>
            <w:tcW w:w="1276" w:type="dxa"/>
            <w:tcBorders>
              <w:top w:val="nil"/>
              <w:left w:val="nil"/>
              <w:bottom w:val="single" w:sz="4" w:space="0" w:color="auto"/>
              <w:right w:val="single" w:sz="4" w:space="0" w:color="auto"/>
            </w:tcBorders>
            <w:shd w:val="clear" w:color="auto" w:fill="EAF1DD" w:themeFill="accent3" w:themeFillTint="33"/>
            <w:noWrap/>
            <w:vAlign w:val="center"/>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color w:val="000000"/>
                <w:lang w:eastAsia="lv-LV"/>
              </w:rPr>
              <w:t>455966</w:t>
            </w:r>
          </w:p>
        </w:tc>
        <w:tc>
          <w:tcPr>
            <w:tcW w:w="1134" w:type="dxa"/>
            <w:tcBorders>
              <w:top w:val="nil"/>
              <w:left w:val="nil"/>
              <w:bottom w:val="single" w:sz="4" w:space="0" w:color="auto"/>
              <w:right w:val="single" w:sz="4" w:space="0" w:color="auto"/>
            </w:tcBorders>
            <w:shd w:val="clear" w:color="auto" w:fill="EAF1DD" w:themeFill="accent3" w:themeFillTint="33"/>
            <w:noWrap/>
            <w:vAlign w:val="center"/>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color w:val="000000"/>
                <w:lang w:eastAsia="lv-LV"/>
              </w:rPr>
              <w:t>5,23</w:t>
            </w:r>
          </w:p>
        </w:tc>
      </w:tr>
      <w:tr w:rsidR="001C5F51" w:rsidRPr="001803A8" w:rsidTr="0048390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1C5F51" w:rsidRPr="001803A8" w:rsidRDefault="001C5F51" w:rsidP="001C5F51">
            <w:pPr>
              <w:spacing w:after="0" w:line="240" w:lineRule="auto"/>
              <w:rPr>
                <w:rFonts w:ascii="Times New Roman" w:eastAsia="Times New Roman" w:hAnsi="Times New Roman" w:cs="Times New Roman"/>
                <w:color w:val="000000"/>
                <w:lang w:eastAsia="lv-LV"/>
              </w:rPr>
            </w:pPr>
            <w:r w:rsidRPr="001C5F51">
              <w:rPr>
                <w:rFonts w:ascii="Times New Roman" w:eastAsia="Times New Roman" w:hAnsi="Times New Roman" w:cs="Times New Roman"/>
                <w:b/>
                <w:bCs/>
                <w:color w:val="000000"/>
                <w:lang w:eastAsia="lv-LV"/>
              </w:rPr>
              <w:t>Kopā</w:t>
            </w:r>
          </w:p>
        </w:tc>
        <w:tc>
          <w:tcPr>
            <w:tcW w:w="116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6298293</w:t>
            </w:r>
          </w:p>
        </w:tc>
        <w:tc>
          <w:tcPr>
            <w:tcW w:w="1104" w:type="dxa"/>
            <w:tcBorders>
              <w:top w:val="nil"/>
              <w:left w:val="nil"/>
              <w:bottom w:val="single" w:sz="4" w:space="0" w:color="auto"/>
              <w:right w:val="single" w:sz="4" w:space="0" w:color="auto"/>
            </w:tcBorders>
            <w:shd w:val="clear" w:color="auto" w:fill="C2D69B" w:themeFill="accent3" w:themeFillTint="99"/>
            <w:noWrap/>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100</w:t>
            </w:r>
          </w:p>
        </w:tc>
        <w:tc>
          <w:tcPr>
            <w:tcW w:w="1275"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7 224 985</w:t>
            </w:r>
          </w:p>
        </w:tc>
        <w:tc>
          <w:tcPr>
            <w:tcW w:w="1134" w:type="dxa"/>
            <w:tcBorders>
              <w:top w:val="nil"/>
              <w:left w:val="nil"/>
              <w:bottom w:val="single" w:sz="4" w:space="0" w:color="auto"/>
              <w:right w:val="single" w:sz="4" w:space="0" w:color="auto"/>
            </w:tcBorders>
            <w:shd w:val="clear" w:color="auto" w:fill="D6E3BC" w:themeFill="accent3" w:themeFillTint="66"/>
            <w:noWrap/>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100</w:t>
            </w:r>
          </w:p>
        </w:tc>
        <w:tc>
          <w:tcPr>
            <w:tcW w:w="1276"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8715929</w:t>
            </w:r>
          </w:p>
        </w:tc>
        <w:tc>
          <w:tcPr>
            <w:tcW w:w="1134" w:type="dxa"/>
            <w:tcBorders>
              <w:top w:val="nil"/>
              <w:left w:val="nil"/>
              <w:bottom w:val="single" w:sz="4" w:space="0" w:color="auto"/>
              <w:right w:val="single" w:sz="4" w:space="0" w:color="auto"/>
            </w:tcBorders>
            <w:shd w:val="clear" w:color="auto" w:fill="EAF1DD" w:themeFill="accent3" w:themeFillTint="33"/>
            <w:noWrap/>
            <w:vAlign w:val="center"/>
            <w:hideMark/>
          </w:tcPr>
          <w:p w:rsidR="001C5F51" w:rsidRPr="001C5F51" w:rsidRDefault="001C5F51" w:rsidP="001C5F51">
            <w:pPr>
              <w:spacing w:after="0" w:line="240" w:lineRule="auto"/>
              <w:jc w:val="center"/>
              <w:rPr>
                <w:rFonts w:ascii="Times New Roman" w:eastAsia="Times New Roman" w:hAnsi="Times New Roman" w:cs="Times New Roman"/>
                <w:b/>
                <w:bCs/>
                <w:color w:val="000000"/>
                <w:lang w:eastAsia="lv-LV"/>
              </w:rPr>
            </w:pPr>
            <w:r w:rsidRPr="001C5F51">
              <w:rPr>
                <w:rFonts w:ascii="Times New Roman" w:eastAsia="Times New Roman" w:hAnsi="Times New Roman" w:cs="Times New Roman"/>
                <w:b/>
                <w:bCs/>
                <w:color w:val="000000"/>
                <w:lang w:eastAsia="lv-LV"/>
              </w:rPr>
              <w:t>100</w:t>
            </w:r>
          </w:p>
        </w:tc>
      </w:tr>
    </w:tbl>
    <w:p w:rsidR="001803A8" w:rsidRPr="004B06A8" w:rsidRDefault="001803A8" w:rsidP="001803A8">
      <w:pPr>
        <w:pStyle w:val="Default"/>
        <w:spacing w:line="276" w:lineRule="auto"/>
        <w:jc w:val="both"/>
        <w:rPr>
          <w:color w:val="auto"/>
        </w:rPr>
      </w:pPr>
    </w:p>
    <w:p w:rsidR="001C5F51" w:rsidRDefault="001C5F51" w:rsidP="001803A8">
      <w:pPr>
        <w:pStyle w:val="Default"/>
        <w:spacing w:line="276" w:lineRule="auto"/>
        <w:ind w:firstLine="720"/>
        <w:jc w:val="both"/>
        <w:rPr>
          <w:color w:val="auto"/>
        </w:rPr>
      </w:pPr>
    </w:p>
    <w:p w:rsidR="001803A8" w:rsidRDefault="001803A8" w:rsidP="001803A8">
      <w:pPr>
        <w:pStyle w:val="Default"/>
        <w:spacing w:line="276" w:lineRule="auto"/>
        <w:ind w:firstLine="720"/>
        <w:jc w:val="both"/>
        <w:rPr>
          <w:color w:val="auto"/>
        </w:rPr>
      </w:pPr>
      <w:r>
        <w:rPr>
          <w:color w:val="auto"/>
        </w:rPr>
        <w:t>Tabulā atspoguļoti pamatbudžeta izdevumi 201</w:t>
      </w:r>
      <w:r w:rsidR="001C5F51">
        <w:rPr>
          <w:color w:val="auto"/>
        </w:rPr>
        <w:t>6</w:t>
      </w:r>
      <w:r>
        <w:rPr>
          <w:color w:val="auto"/>
        </w:rPr>
        <w:t>., 201</w:t>
      </w:r>
      <w:r w:rsidR="001C5F51">
        <w:rPr>
          <w:color w:val="auto"/>
        </w:rPr>
        <w:t>7</w:t>
      </w:r>
      <w:r>
        <w:rPr>
          <w:color w:val="auto"/>
        </w:rPr>
        <w:t>.gadā un plānotie 201</w:t>
      </w:r>
      <w:r w:rsidR="001C5F51">
        <w:rPr>
          <w:color w:val="auto"/>
        </w:rPr>
        <w:t>8</w:t>
      </w:r>
      <w:r>
        <w:rPr>
          <w:color w:val="auto"/>
        </w:rPr>
        <w:t xml:space="preserve">.gadā, kā arī </w:t>
      </w:r>
      <w:r w:rsidR="001C5F51">
        <w:rPr>
          <w:color w:val="auto"/>
        </w:rPr>
        <w:t>ap</w:t>
      </w:r>
      <w:r>
        <w:rPr>
          <w:color w:val="auto"/>
        </w:rPr>
        <w:t>rēķināta to struktūra %.</w:t>
      </w:r>
    </w:p>
    <w:p w:rsidR="00C61EDA" w:rsidRDefault="00C61EDA" w:rsidP="00A3137D">
      <w:pPr>
        <w:pStyle w:val="Default"/>
        <w:spacing w:line="276" w:lineRule="auto"/>
        <w:ind w:firstLine="720"/>
        <w:jc w:val="both"/>
        <w:rPr>
          <w:b/>
          <w:bCs/>
        </w:rPr>
      </w:pPr>
    </w:p>
    <w:p w:rsidR="00C61EDA" w:rsidRDefault="00A51C0D" w:rsidP="00C61EDA">
      <w:pPr>
        <w:pStyle w:val="Default"/>
        <w:spacing w:line="276" w:lineRule="auto"/>
        <w:jc w:val="center"/>
        <w:rPr>
          <w:b/>
          <w:bCs/>
        </w:rPr>
      </w:pPr>
      <w:r>
        <w:rPr>
          <w:noProof/>
          <w:lang w:eastAsia="lv-LV"/>
        </w:rPr>
        <w:drawing>
          <wp:inline distT="0" distB="0" distL="0" distR="0" wp14:anchorId="7F48AE60" wp14:editId="6253D81B">
            <wp:extent cx="5692140" cy="4069080"/>
            <wp:effectExtent l="0" t="0" r="3810" b="762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CB51EE-2D92-4665-ABEA-0077D5CD7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1EDA" w:rsidRPr="00A674B7" w:rsidRDefault="00C61EDA" w:rsidP="00C61EDA">
      <w:pPr>
        <w:pStyle w:val="Default"/>
        <w:spacing w:line="276" w:lineRule="auto"/>
        <w:ind w:firstLine="720"/>
        <w:jc w:val="center"/>
        <w:rPr>
          <w:bCs/>
        </w:rPr>
      </w:pPr>
      <w:r w:rsidRPr="00A674B7">
        <w:rPr>
          <w:bCs/>
        </w:rPr>
        <w:t>2.att. Pamatbudžeta izdevumu struktūra pēc funkciju iedalījuma</w:t>
      </w:r>
    </w:p>
    <w:p w:rsidR="00C61EDA" w:rsidRDefault="00C61EDA" w:rsidP="00A3137D">
      <w:pPr>
        <w:pStyle w:val="Default"/>
        <w:spacing w:line="276" w:lineRule="auto"/>
        <w:ind w:firstLine="720"/>
        <w:jc w:val="both"/>
        <w:rPr>
          <w:b/>
          <w:bCs/>
        </w:rPr>
      </w:pPr>
    </w:p>
    <w:p w:rsidR="00C61EDA" w:rsidRDefault="00C61EDA" w:rsidP="00A3137D">
      <w:pPr>
        <w:pStyle w:val="Default"/>
        <w:spacing w:line="276" w:lineRule="auto"/>
        <w:ind w:firstLine="720"/>
        <w:jc w:val="both"/>
        <w:rPr>
          <w:b/>
          <w:bCs/>
        </w:rPr>
      </w:pPr>
    </w:p>
    <w:p w:rsidR="00757E3E" w:rsidRPr="004B06A8" w:rsidRDefault="00757E3E" w:rsidP="00A3137D">
      <w:pPr>
        <w:pStyle w:val="Default"/>
        <w:spacing w:line="276" w:lineRule="auto"/>
        <w:ind w:firstLine="720"/>
        <w:jc w:val="both"/>
      </w:pPr>
      <w:r w:rsidRPr="005D65DE">
        <w:rPr>
          <w:b/>
          <w:bCs/>
        </w:rPr>
        <w:t xml:space="preserve">Vispārējo valdības dienestu darbības nodrošināšanai paredzēti </w:t>
      </w:r>
      <w:r w:rsidR="00A51C0D" w:rsidRPr="005D65DE">
        <w:rPr>
          <w:b/>
          <w:bCs/>
        </w:rPr>
        <w:t>894 337</w:t>
      </w:r>
      <w:r w:rsidRPr="005D65DE">
        <w:rPr>
          <w:b/>
          <w:bCs/>
        </w:rPr>
        <w:t xml:space="preserve"> EUR jeb </w:t>
      </w:r>
      <w:r w:rsidR="00A51C0D" w:rsidRPr="005D65DE">
        <w:rPr>
          <w:b/>
          <w:bCs/>
        </w:rPr>
        <w:t>10</w:t>
      </w:r>
      <w:r w:rsidR="0048390C" w:rsidRPr="005D65DE">
        <w:rPr>
          <w:b/>
          <w:bCs/>
        </w:rPr>
        <w:t>,26</w:t>
      </w:r>
      <w:r w:rsidRPr="005D65DE">
        <w:rPr>
          <w:b/>
          <w:bCs/>
        </w:rPr>
        <w:t>% no kopējiem pamatbudžeta izdevumiem</w:t>
      </w:r>
      <w:r w:rsidRPr="005D65DE">
        <w:t xml:space="preserve">, tajā skaitā pašvaldības budžeta parāda darījumu nomaksai (aizņēmumu procentu maksājumi un apkalpošanas maksa) </w:t>
      </w:r>
      <w:r w:rsidR="00EB045B" w:rsidRPr="005D65DE">
        <w:t>10</w:t>
      </w:r>
      <w:r w:rsidR="00E449A4">
        <w:t xml:space="preserve"> </w:t>
      </w:r>
      <w:r w:rsidR="00EB045B" w:rsidRPr="005D65DE">
        <w:t>900</w:t>
      </w:r>
      <w:r w:rsidRPr="005D65DE">
        <w:t xml:space="preserve"> EUR (0.1</w:t>
      </w:r>
      <w:r w:rsidR="00F30085" w:rsidRPr="005D65DE">
        <w:t>3</w:t>
      </w:r>
      <w:r w:rsidRPr="005D65DE">
        <w:t xml:space="preserve">% no kopējiem izdevumiem). Pašvaldības vēlēšanu komisijas darbībai plānoti </w:t>
      </w:r>
      <w:r w:rsidR="00F30085" w:rsidRPr="005D65DE">
        <w:t>1241</w:t>
      </w:r>
      <w:r w:rsidRPr="005D65DE">
        <w:t xml:space="preserve"> EUR (0.</w:t>
      </w:r>
      <w:r w:rsidR="00F30085" w:rsidRPr="005D65DE">
        <w:t>01</w:t>
      </w:r>
      <w:r w:rsidRPr="005D65DE">
        <w:t xml:space="preserve">% no kopējiem izdevumiem), Pašvaldību savstarpējiem </w:t>
      </w:r>
      <w:r w:rsidR="00D24A68" w:rsidRPr="005D65DE">
        <w:t>norēķiniem</w:t>
      </w:r>
      <w:r w:rsidRPr="005D65DE">
        <w:t xml:space="preserve"> plānoti 5</w:t>
      </w:r>
      <w:r w:rsidR="00F30085" w:rsidRPr="005D65DE">
        <w:t>7</w:t>
      </w:r>
      <w:r w:rsidR="00E449A4">
        <w:t xml:space="preserve"> </w:t>
      </w:r>
      <w:r w:rsidRPr="005D65DE">
        <w:t>000 EUR (0.</w:t>
      </w:r>
      <w:r w:rsidR="00F30085" w:rsidRPr="005D65DE">
        <w:t>65</w:t>
      </w:r>
      <w:r w:rsidRPr="005D65DE">
        <w:t xml:space="preserve"> kopējiem izdevumiem).  </w:t>
      </w:r>
      <w:r w:rsidR="00E449A4" w:rsidRPr="004B06A8">
        <w:t xml:space="preserve">Dzimtsarakstu nodaļai plānoti </w:t>
      </w:r>
      <w:r w:rsidR="00E449A4">
        <w:t>22 106</w:t>
      </w:r>
      <w:r w:rsidR="00E449A4" w:rsidRPr="004B06A8">
        <w:t xml:space="preserve"> EUR (0.2</w:t>
      </w:r>
      <w:r w:rsidR="00E449A4">
        <w:t>5</w:t>
      </w:r>
      <w:r w:rsidR="00E449A4" w:rsidRPr="004B06A8">
        <w:t xml:space="preserve"> % no kopējiem izdevumiem).  </w:t>
      </w:r>
      <w:r w:rsidRPr="005D65DE">
        <w:t>Izpildvaras jeb pašvaldības pārvaldes funkcijas saskaņā ar likumu „Par pašvaldībām” nodrošina Priekules novada pašvaldības  dome. Šo funkciju īstenošanu saskaņā ar apstiprināto Priekules novada pašvaldības domes nolikumu nodrošina ievēlētie deputāti, domes vadība, struktūrvienības (Dokumentu pārvaldības, Juridiskā, Finanšu nodaļa), kā arī pagastu pārvalžu administrācija</w:t>
      </w:r>
      <w:r w:rsidR="00D24A68" w:rsidRPr="005D65DE">
        <w:t>s</w:t>
      </w:r>
      <w:r w:rsidRPr="005D65DE">
        <w:t xml:space="preserve">. Budžeta sadaļā tiek plānoti izdevumi pašvaldības pārvaldes darbības nodrošināšanai </w:t>
      </w:r>
      <w:r w:rsidR="00F30085" w:rsidRPr="005D65DE">
        <w:t>803 090</w:t>
      </w:r>
      <w:r w:rsidRPr="005D65DE">
        <w:t xml:space="preserve"> EUR jeb </w:t>
      </w:r>
      <w:r w:rsidR="00F30085" w:rsidRPr="005D65DE">
        <w:t xml:space="preserve">9.21 </w:t>
      </w:r>
      <w:r w:rsidRPr="005D65DE">
        <w:t>% no kopējiem pamatbudžeta izdevumiem.</w:t>
      </w:r>
      <w:r w:rsidRPr="004B06A8">
        <w:t xml:space="preserve"> </w:t>
      </w:r>
    </w:p>
    <w:p w:rsidR="00757E3E" w:rsidRPr="004B06A8" w:rsidRDefault="007469A5" w:rsidP="00A3137D">
      <w:pPr>
        <w:pStyle w:val="Default"/>
        <w:spacing w:line="276" w:lineRule="auto"/>
        <w:ind w:firstLine="720"/>
        <w:jc w:val="both"/>
        <w:rPr>
          <w:b/>
          <w:bCs/>
        </w:rPr>
      </w:pPr>
      <w:r w:rsidRPr="004B06A8">
        <w:rPr>
          <w:b/>
          <w:bCs/>
        </w:rPr>
        <w:t xml:space="preserve">Ekonomiskajai darbībai plānoti </w:t>
      </w:r>
      <w:r w:rsidR="009C5447">
        <w:rPr>
          <w:b/>
          <w:bCs/>
        </w:rPr>
        <w:t xml:space="preserve">2 172 048 </w:t>
      </w:r>
      <w:r w:rsidRPr="004B06A8">
        <w:rPr>
          <w:b/>
          <w:bCs/>
        </w:rPr>
        <w:t xml:space="preserve">EUR jeb </w:t>
      </w:r>
      <w:r w:rsidR="009C5447">
        <w:rPr>
          <w:b/>
          <w:bCs/>
        </w:rPr>
        <w:t>24,</w:t>
      </w:r>
      <w:r w:rsidR="00CF648A">
        <w:rPr>
          <w:b/>
          <w:bCs/>
        </w:rPr>
        <w:t>92</w:t>
      </w:r>
      <w:r w:rsidRPr="004B06A8">
        <w:rPr>
          <w:b/>
          <w:bCs/>
        </w:rPr>
        <w:t>% no kopējiem pamatbudžeta izdevumiem.</w:t>
      </w:r>
    </w:p>
    <w:p w:rsidR="00757E3E" w:rsidRDefault="00D24A68" w:rsidP="00A3137D">
      <w:pPr>
        <w:pStyle w:val="Default"/>
        <w:spacing w:line="276" w:lineRule="auto"/>
        <w:ind w:firstLine="720"/>
        <w:jc w:val="both"/>
        <w:rPr>
          <w:color w:val="auto"/>
        </w:rPr>
      </w:pPr>
      <w:r w:rsidRPr="004B06A8">
        <w:rPr>
          <w:bCs/>
        </w:rPr>
        <w:t xml:space="preserve">Nodarbinātības pasākumiem plānoti </w:t>
      </w:r>
      <w:r w:rsidR="009C5447" w:rsidRPr="005D65DE">
        <w:rPr>
          <w:bCs/>
        </w:rPr>
        <w:t>44 616</w:t>
      </w:r>
      <w:r w:rsidRPr="005D65DE">
        <w:rPr>
          <w:bCs/>
        </w:rPr>
        <w:t xml:space="preserve"> EUR, kas ir </w:t>
      </w:r>
      <w:r w:rsidR="00CF5EBC" w:rsidRPr="005D65DE">
        <w:rPr>
          <w:bCs/>
        </w:rPr>
        <w:t>0.5</w:t>
      </w:r>
      <w:r w:rsidR="009C5447" w:rsidRPr="005D65DE">
        <w:rPr>
          <w:bCs/>
        </w:rPr>
        <w:t>1</w:t>
      </w:r>
      <w:r w:rsidRPr="005D65DE">
        <w:rPr>
          <w:bCs/>
        </w:rPr>
        <w:t>% no kopējiem</w:t>
      </w:r>
      <w:r w:rsidRPr="004B06A8">
        <w:rPr>
          <w:bCs/>
        </w:rPr>
        <w:t xml:space="preserve"> izdevumiem. Tāpat kā 201</w:t>
      </w:r>
      <w:r w:rsidR="009C5447">
        <w:rPr>
          <w:bCs/>
        </w:rPr>
        <w:t>7</w:t>
      </w:r>
      <w:r w:rsidRPr="004B06A8">
        <w:rPr>
          <w:bCs/>
        </w:rPr>
        <w:t xml:space="preserve">.gadā, arī šogad plānoti līdzekļi bērnu vasaras nodarbinātības programmai </w:t>
      </w:r>
      <w:r w:rsidR="00695BE2" w:rsidRPr="00695BE2">
        <w:rPr>
          <w:bCs/>
          <w:color w:val="auto"/>
        </w:rPr>
        <w:t>7300</w:t>
      </w:r>
      <w:r w:rsidRPr="004B06A8">
        <w:rPr>
          <w:bCs/>
        </w:rPr>
        <w:t xml:space="preserve"> EUR. Būvvaldes uzturēšanai </w:t>
      </w:r>
      <w:r w:rsidRPr="005D65DE">
        <w:rPr>
          <w:bCs/>
        </w:rPr>
        <w:t xml:space="preserve">plānoti </w:t>
      </w:r>
      <w:r w:rsidR="009C5447" w:rsidRPr="005D65DE">
        <w:rPr>
          <w:bCs/>
        </w:rPr>
        <w:t>34995</w:t>
      </w:r>
      <w:r w:rsidRPr="005D65DE">
        <w:rPr>
          <w:bCs/>
        </w:rPr>
        <w:t xml:space="preserve"> EUR, kas ir 0.4</w:t>
      </w:r>
      <w:r w:rsidR="009C5447" w:rsidRPr="005D65DE">
        <w:rPr>
          <w:bCs/>
        </w:rPr>
        <w:t>0</w:t>
      </w:r>
      <w:r w:rsidRPr="005D65DE">
        <w:rPr>
          <w:bCs/>
        </w:rPr>
        <w:t xml:space="preserve">% no kopējiem izdevumiem. No pamatbudžeta </w:t>
      </w:r>
      <w:r w:rsidR="009C5447" w:rsidRPr="005D65DE">
        <w:rPr>
          <w:bCs/>
        </w:rPr>
        <w:t>35371</w:t>
      </w:r>
      <w:r w:rsidRPr="005D65DE">
        <w:rPr>
          <w:bCs/>
        </w:rPr>
        <w:t xml:space="preserve"> EUR plānoti ielu un ceļu uzturēšanai. Tūrismam novadā kopumā paredzēti </w:t>
      </w:r>
      <w:r w:rsidR="009C5447" w:rsidRPr="005D65DE">
        <w:rPr>
          <w:bCs/>
        </w:rPr>
        <w:t>25487</w:t>
      </w:r>
      <w:r w:rsidRPr="005D65DE">
        <w:rPr>
          <w:bCs/>
        </w:rPr>
        <w:t xml:space="preserve"> EUR, kas ir 0</w:t>
      </w:r>
      <w:r w:rsidR="009C5447" w:rsidRPr="005D65DE">
        <w:rPr>
          <w:bCs/>
        </w:rPr>
        <w:t xml:space="preserve">,29 </w:t>
      </w:r>
      <w:r w:rsidRPr="005D65DE">
        <w:rPr>
          <w:bCs/>
        </w:rPr>
        <w:t>% no kopējiem izdevumiem. Līdzfinansējumam dalībai Reģionālajā Liepājas tūrisma informācijas  centrā  plānoti 30</w:t>
      </w:r>
      <w:r w:rsidR="009C5447" w:rsidRPr="005D65DE">
        <w:rPr>
          <w:bCs/>
        </w:rPr>
        <w:t>00</w:t>
      </w:r>
      <w:r w:rsidRPr="005D65DE">
        <w:rPr>
          <w:bCs/>
        </w:rPr>
        <w:t xml:space="preserve"> EUR saskaņā ar noslēgto vienošanos. Attīstības plānošanas nodaļas un tai uzdoto uzdevumu izpildei plānoti </w:t>
      </w:r>
      <w:r w:rsidR="009C5447" w:rsidRPr="005D65DE">
        <w:rPr>
          <w:bCs/>
        </w:rPr>
        <w:t>174 964</w:t>
      </w:r>
      <w:r w:rsidRPr="005D65DE">
        <w:rPr>
          <w:bCs/>
        </w:rPr>
        <w:t xml:space="preserve"> EUR, kas ir </w:t>
      </w:r>
      <w:r w:rsidR="009C5447" w:rsidRPr="005D65DE">
        <w:rPr>
          <w:bCs/>
        </w:rPr>
        <w:t>2</w:t>
      </w:r>
      <w:r w:rsidR="0003078F" w:rsidRPr="005D65DE">
        <w:rPr>
          <w:bCs/>
        </w:rPr>
        <w:t>.01</w:t>
      </w:r>
      <w:r w:rsidRPr="005D65DE">
        <w:rPr>
          <w:bCs/>
        </w:rPr>
        <w:t xml:space="preserve"> % no kopējiem izdevumiem, pašvaldības izsludinātajam projektu konkursam 9000 EUR, līdzfinansējumiem biedrību un nodibinājumu projektiem plānoti </w:t>
      </w:r>
      <w:r w:rsidR="0003078F" w:rsidRPr="005D65DE">
        <w:rPr>
          <w:bCs/>
        </w:rPr>
        <w:t xml:space="preserve">2000 </w:t>
      </w:r>
      <w:r w:rsidRPr="005D65DE">
        <w:rPr>
          <w:bCs/>
        </w:rPr>
        <w:t>EUR. Uzņēmējdarbības atbalstam paredzēti 3</w:t>
      </w:r>
      <w:r w:rsidR="007826B1" w:rsidRPr="005D65DE">
        <w:rPr>
          <w:bCs/>
        </w:rPr>
        <w:t>0</w:t>
      </w:r>
      <w:r w:rsidRPr="005D65DE">
        <w:rPr>
          <w:bCs/>
        </w:rPr>
        <w:t>00 EUR, Uzņēmēju gada balvai 1000 EUR</w:t>
      </w:r>
      <w:r w:rsidR="0003078F" w:rsidRPr="005D65DE">
        <w:rPr>
          <w:bCs/>
        </w:rPr>
        <w:t>, novada tūrisma suvenīru ideju un metu konkursam 1000 EUR</w:t>
      </w:r>
      <w:r w:rsidRPr="005D65DE">
        <w:rPr>
          <w:bCs/>
        </w:rPr>
        <w:t xml:space="preserve">. </w:t>
      </w:r>
      <w:r w:rsidR="00620D95">
        <w:rPr>
          <w:bCs/>
        </w:rPr>
        <w:t>34067 EUR plānoti SAM programmas projekta “Celies</w:t>
      </w:r>
      <w:r w:rsidR="00EC7334">
        <w:rPr>
          <w:bCs/>
        </w:rPr>
        <w:t>,</w:t>
      </w:r>
      <w:r w:rsidR="00620D95">
        <w:rPr>
          <w:bCs/>
        </w:rPr>
        <w:t xml:space="preserve"> velies, ripo droši</w:t>
      </w:r>
      <w:r w:rsidR="00EC7334">
        <w:rPr>
          <w:bCs/>
        </w:rPr>
        <w:t xml:space="preserve">” aktivitātēm. </w:t>
      </w:r>
      <w:r w:rsidR="007826B1" w:rsidRPr="005D65DE">
        <w:rPr>
          <w:bCs/>
        </w:rPr>
        <w:t xml:space="preserve">LAD ceļu projekta īstenošanai darbiem plānoti 1 777 778 EUR. </w:t>
      </w:r>
      <w:r w:rsidR="0003078F" w:rsidRPr="005D65DE">
        <w:rPr>
          <w:bCs/>
        </w:rPr>
        <w:t>Videokameru projektam paredzēti 44</w:t>
      </w:r>
      <w:r w:rsidR="00F50DD9" w:rsidRPr="005D65DE">
        <w:rPr>
          <w:bCs/>
        </w:rPr>
        <w:t xml:space="preserve"> </w:t>
      </w:r>
      <w:r w:rsidR="0003078F" w:rsidRPr="005D65DE">
        <w:rPr>
          <w:bCs/>
        </w:rPr>
        <w:t>770 EUR</w:t>
      </w:r>
      <w:r w:rsidR="00125046" w:rsidRPr="005D65DE">
        <w:rPr>
          <w:color w:val="auto"/>
        </w:rPr>
        <w:t xml:space="preserve">. </w:t>
      </w:r>
      <w:r w:rsidR="00757E3E" w:rsidRPr="005D65DE">
        <w:rPr>
          <w:color w:val="auto"/>
        </w:rPr>
        <w:t>201</w:t>
      </w:r>
      <w:r w:rsidR="007826B1" w:rsidRPr="005D65DE">
        <w:rPr>
          <w:color w:val="auto"/>
        </w:rPr>
        <w:t>8</w:t>
      </w:r>
      <w:r w:rsidR="00757E3E" w:rsidRPr="005D65DE">
        <w:rPr>
          <w:color w:val="auto"/>
        </w:rPr>
        <w:t>. gada investīciju p</w:t>
      </w:r>
      <w:r w:rsidRPr="005D65DE">
        <w:rPr>
          <w:color w:val="auto"/>
        </w:rPr>
        <w:t>lānā paredzētiem darbiem</w:t>
      </w:r>
      <w:r w:rsidRPr="004B06A8">
        <w:rPr>
          <w:color w:val="auto"/>
        </w:rPr>
        <w:t xml:space="preserve"> plānotais</w:t>
      </w:r>
      <w:r w:rsidR="00757E3E" w:rsidRPr="004B06A8">
        <w:rPr>
          <w:color w:val="auto"/>
        </w:rPr>
        <w:t xml:space="preserve"> finansējums budžeta izpildes gaitā atbilstoši iepirkuma rezultātiem tiks pārdalīts starp pašvaldības iestādēm un izlietojuma mērķiem. </w:t>
      </w:r>
    </w:p>
    <w:p w:rsidR="00D24A68" w:rsidRPr="004B06A8" w:rsidRDefault="00D24A68" w:rsidP="00A3137D">
      <w:pPr>
        <w:pStyle w:val="Default"/>
        <w:spacing w:line="276" w:lineRule="auto"/>
        <w:jc w:val="both"/>
        <w:rPr>
          <w:b/>
          <w:bCs/>
          <w:color w:val="auto"/>
        </w:rPr>
      </w:pPr>
    </w:p>
    <w:p w:rsidR="00D640AC" w:rsidRPr="005D65DE" w:rsidRDefault="00757E3E" w:rsidP="00A3137D">
      <w:pPr>
        <w:pStyle w:val="Default"/>
        <w:spacing w:line="276" w:lineRule="auto"/>
        <w:ind w:firstLine="720"/>
        <w:jc w:val="both"/>
        <w:rPr>
          <w:color w:val="auto"/>
        </w:rPr>
      </w:pPr>
      <w:r w:rsidRPr="005D65DE">
        <w:rPr>
          <w:b/>
          <w:bCs/>
          <w:color w:val="auto"/>
        </w:rPr>
        <w:t xml:space="preserve">Pašvaldības teritoriju un mājokļu apsaimniekošanai plānoti </w:t>
      </w:r>
      <w:r w:rsidR="00D24A68" w:rsidRPr="005D65DE">
        <w:rPr>
          <w:b/>
          <w:bCs/>
          <w:color w:val="auto"/>
        </w:rPr>
        <w:t>1</w:t>
      </w:r>
      <w:r w:rsidR="00D869BE" w:rsidRPr="005D65DE">
        <w:rPr>
          <w:b/>
          <w:bCs/>
          <w:color w:val="auto"/>
        </w:rPr>
        <w:t> 581 282</w:t>
      </w:r>
      <w:r w:rsidRPr="005D65DE">
        <w:rPr>
          <w:b/>
          <w:bCs/>
          <w:color w:val="auto"/>
        </w:rPr>
        <w:t xml:space="preserve"> EUR jeb </w:t>
      </w:r>
      <w:r w:rsidR="00D869BE" w:rsidRPr="005D65DE">
        <w:rPr>
          <w:b/>
          <w:bCs/>
          <w:color w:val="auto"/>
        </w:rPr>
        <w:t>18,14</w:t>
      </w:r>
      <w:r w:rsidRPr="005D65DE">
        <w:rPr>
          <w:b/>
          <w:bCs/>
          <w:color w:val="auto"/>
        </w:rPr>
        <w:t xml:space="preserve">% no kopējiem pamatbudžeta izdevumiem. </w:t>
      </w:r>
      <w:r w:rsidRPr="005D65DE">
        <w:rPr>
          <w:color w:val="auto"/>
        </w:rPr>
        <w:t>Līdzekļus paredzēts izlietot pagastu</w:t>
      </w:r>
      <w:r w:rsidR="004B06A8" w:rsidRPr="005D65DE">
        <w:rPr>
          <w:color w:val="auto"/>
        </w:rPr>
        <w:t xml:space="preserve"> un pilsētas</w:t>
      </w:r>
      <w:r w:rsidRPr="005D65DE">
        <w:rPr>
          <w:color w:val="auto"/>
        </w:rPr>
        <w:t xml:space="preserve"> komunālo saimniecību uzturēšanai </w:t>
      </w:r>
      <w:r w:rsidR="00D869BE" w:rsidRPr="005D65DE">
        <w:rPr>
          <w:color w:val="auto"/>
        </w:rPr>
        <w:t>820 124</w:t>
      </w:r>
      <w:r w:rsidRPr="005D65DE">
        <w:rPr>
          <w:color w:val="auto"/>
        </w:rPr>
        <w:t xml:space="preserve"> EUR, ielu apgaismošanai </w:t>
      </w:r>
      <w:r w:rsidR="00D869BE" w:rsidRPr="005D65DE">
        <w:rPr>
          <w:color w:val="auto"/>
        </w:rPr>
        <w:t>74 637</w:t>
      </w:r>
      <w:r w:rsidR="004B06A8" w:rsidRPr="005D65DE">
        <w:rPr>
          <w:color w:val="auto"/>
        </w:rPr>
        <w:t xml:space="preserve"> EUR</w:t>
      </w:r>
      <w:r w:rsidRPr="005D65DE">
        <w:rPr>
          <w:color w:val="auto"/>
        </w:rPr>
        <w:t xml:space="preserve">, </w:t>
      </w:r>
      <w:r w:rsidR="00125046" w:rsidRPr="005D65DE">
        <w:rPr>
          <w:color w:val="auto"/>
        </w:rPr>
        <w:t>ūdenssaimniecības uzturēšanai 223 862 EUR</w:t>
      </w:r>
      <w:r w:rsidR="00D640AC" w:rsidRPr="005D65DE">
        <w:rPr>
          <w:color w:val="auto"/>
        </w:rPr>
        <w:t xml:space="preserve"> (t.sk. deleģēšanas līgums ar SIA “Priekules nami” par darbiem Virgas ūdenssaimniecībai 16398 EUR)</w:t>
      </w:r>
      <w:r w:rsidR="00125046" w:rsidRPr="005D65DE">
        <w:rPr>
          <w:color w:val="auto"/>
        </w:rPr>
        <w:t xml:space="preserve">, </w:t>
      </w:r>
      <w:r w:rsidRPr="005D65DE">
        <w:rPr>
          <w:color w:val="auto"/>
        </w:rPr>
        <w:t xml:space="preserve">pašvaldību dzīvojamā fonda uzturēšanai un remontiem </w:t>
      </w:r>
      <w:r w:rsidR="00D869BE" w:rsidRPr="005D65DE">
        <w:rPr>
          <w:color w:val="auto"/>
        </w:rPr>
        <w:t>123 255</w:t>
      </w:r>
      <w:r w:rsidRPr="005D65DE">
        <w:rPr>
          <w:color w:val="auto"/>
        </w:rPr>
        <w:t xml:space="preserve"> EUR. </w:t>
      </w:r>
    </w:p>
    <w:p w:rsidR="00757E3E" w:rsidRPr="005D65DE" w:rsidRDefault="00C77F87" w:rsidP="00A3137D">
      <w:pPr>
        <w:pStyle w:val="Default"/>
        <w:spacing w:line="276" w:lineRule="auto"/>
        <w:ind w:firstLine="720"/>
        <w:jc w:val="both"/>
        <w:rPr>
          <w:color w:val="auto"/>
        </w:rPr>
      </w:pPr>
      <w:r w:rsidRPr="005D65DE">
        <w:rPr>
          <w:color w:val="auto"/>
        </w:rPr>
        <w:t xml:space="preserve">Mājokļu apsaimniekošanā lielākie izdevumi plānoti </w:t>
      </w:r>
      <w:r w:rsidR="00D869BE" w:rsidRPr="005D65DE">
        <w:rPr>
          <w:color w:val="auto"/>
        </w:rPr>
        <w:t>Bunkas</w:t>
      </w:r>
      <w:r w:rsidRPr="005D65DE">
        <w:rPr>
          <w:color w:val="auto"/>
        </w:rPr>
        <w:t xml:space="preserve"> pagastā</w:t>
      </w:r>
      <w:r w:rsidR="00D869BE" w:rsidRPr="005D65DE">
        <w:rPr>
          <w:color w:val="auto"/>
        </w:rPr>
        <w:t>,</w:t>
      </w:r>
      <w:r w:rsidRPr="005D65DE">
        <w:rPr>
          <w:color w:val="auto"/>
        </w:rPr>
        <w:t xml:space="preserve"> </w:t>
      </w:r>
      <w:r w:rsidR="00D869BE" w:rsidRPr="005D65DE">
        <w:rPr>
          <w:color w:val="auto"/>
        </w:rPr>
        <w:t>kur 55 700</w:t>
      </w:r>
      <w:r w:rsidRPr="005D65DE">
        <w:rPr>
          <w:color w:val="auto"/>
        </w:rPr>
        <w:t xml:space="preserve"> EUR</w:t>
      </w:r>
      <w:r w:rsidR="00D869BE" w:rsidRPr="005D65DE">
        <w:rPr>
          <w:color w:val="auto"/>
        </w:rPr>
        <w:t xml:space="preserve"> plānoti jumta remontam daudzdzīvokļu mājai “Lāčplēši”</w:t>
      </w:r>
      <w:r w:rsidR="00125046" w:rsidRPr="005D65DE">
        <w:rPr>
          <w:color w:val="auto"/>
        </w:rPr>
        <w:t xml:space="preserve">, </w:t>
      </w:r>
      <w:r w:rsidR="007B07BE" w:rsidRPr="005D65DE">
        <w:rPr>
          <w:color w:val="auto"/>
        </w:rPr>
        <w:t>Gramzdas</w:t>
      </w:r>
      <w:r w:rsidRPr="005D65DE">
        <w:rPr>
          <w:color w:val="auto"/>
        </w:rPr>
        <w:t xml:space="preserve"> pagastā </w:t>
      </w:r>
      <w:r w:rsidR="00125046" w:rsidRPr="005D65DE">
        <w:rPr>
          <w:color w:val="auto"/>
        </w:rPr>
        <w:t>8</w:t>
      </w:r>
      <w:r w:rsidR="00945EED" w:rsidRPr="005D65DE">
        <w:rPr>
          <w:color w:val="auto"/>
        </w:rPr>
        <w:t xml:space="preserve"> </w:t>
      </w:r>
      <w:r w:rsidR="007B07BE" w:rsidRPr="005D65DE">
        <w:rPr>
          <w:color w:val="auto"/>
        </w:rPr>
        <w:t>000</w:t>
      </w:r>
      <w:r w:rsidRPr="005D65DE">
        <w:rPr>
          <w:color w:val="auto"/>
        </w:rPr>
        <w:t xml:space="preserve"> EUR</w:t>
      </w:r>
      <w:r w:rsidR="007B07BE" w:rsidRPr="005D65DE">
        <w:rPr>
          <w:color w:val="auto"/>
        </w:rPr>
        <w:t xml:space="preserve"> plānoti jumt</w:t>
      </w:r>
      <w:r w:rsidR="00125046" w:rsidRPr="005D65DE">
        <w:rPr>
          <w:color w:val="auto"/>
        </w:rPr>
        <w:t>u labošanai</w:t>
      </w:r>
      <w:r w:rsidR="00A9155B">
        <w:rPr>
          <w:color w:val="auto"/>
        </w:rPr>
        <w:t xml:space="preserve"> un</w:t>
      </w:r>
      <w:r w:rsidR="00125046" w:rsidRPr="005D65DE">
        <w:rPr>
          <w:color w:val="auto"/>
        </w:rPr>
        <w:t xml:space="preserve"> pagrabu durvju nomaiņai Miera ielā 2, 4, 5 un 7</w:t>
      </w:r>
      <w:r w:rsidRPr="005D65DE">
        <w:rPr>
          <w:color w:val="auto"/>
        </w:rPr>
        <w:t>.</w:t>
      </w:r>
      <w:r w:rsidR="00125046" w:rsidRPr="005D65DE">
        <w:rPr>
          <w:color w:val="auto"/>
        </w:rPr>
        <w:t xml:space="preserve"> Virgas pagastā mājokļu sakārtošanai plānoti 7</w:t>
      </w:r>
      <w:r w:rsidR="00945EED" w:rsidRPr="005D65DE">
        <w:rPr>
          <w:color w:val="auto"/>
        </w:rPr>
        <w:t xml:space="preserve"> </w:t>
      </w:r>
      <w:r w:rsidR="00125046" w:rsidRPr="005D65DE">
        <w:rPr>
          <w:color w:val="auto"/>
        </w:rPr>
        <w:t>473 EUR.</w:t>
      </w:r>
    </w:p>
    <w:p w:rsidR="002B55F4" w:rsidRPr="005D65DE" w:rsidRDefault="00C77F87" w:rsidP="00C77F87">
      <w:pPr>
        <w:pStyle w:val="Default"/>
        <w:spacing w:line="276" w:lineRule="auto"/>
        <w:ind w:firstLine="720"/>
        <w:jc w:val="both"/>
        <w:rPr>
          <w:color w:val="auto"/>
        </w:rPr>
      </w:pPr>
      <w:r w:rsidRPr="005D65DE">
        <w:rPr>
          <w:color w:val="auto"/>
        </w:rPr>
        <w:t xml:space="preserve">Bunkas pagastā </w:t>
      </w:r>
      <w:r w:rsidR="006328DC" w:rsidRPr="005D65DE">
        <w:rPr>
          <w:color w:val="auto"/>
        </w:rPr>
        <w:t xml:space="preserve">160 000 EUR plānots ieguldīt </w:t>
      </w:r>
      <w:r w:rsidRPr="005D65DE">
        <w:rPr>
          <w:color w:val="auto"/>
        </w:rPr>
        <w:t>kanalizācijas sakārtošanai Krotes ciemā</w:t>
      </w:r>
      <w:r w:rsidR="006328DC" w:rsidRPr="005D65DE">
        <w:rPr>
          <w:color w:val="auto"/>
        </w:rPr>
        <w:t xml:space="preserve"> un 3</w:t>
      </w:r>
      <w:r w:rsidR="00945EED" w:rsidRPr="005D65DE">
        <w:rPr>
          <w:color w:val="auto"/>
        </w:rPr>
        <w:t xml:space="preserve"> </w:t>
      </w:r>
      <w:r w:rsidR="006328DC" w:rsidRPr="005D65DE">
        <w:rPr>
          <w:color w:val="auto"/>
        </w:rPr>
        <w:t>000 EUR tehniskā projekta izstrādei Tadaiķu ciema kanalizācijai</w:t>
      </w:r>
      <w:r w:rsidRPr="005D65DE">
        <w:rPr>
          <w:color w:val="auto"/>
        </w:rPr>
        <w:t xml:space="preserve">. </w:t>
      </w:r>
      <w:r w:rsidR="00D640AC" w:rsidRPr="005D65DE">
        <w:rPr>
          <w:color w:val="auto"/>
        </w:rPr>
        <w:t xml:space="preserve">Malkas šķūņa </w:t>
      </w:r>
      <w:r w:rsidR="00D640AC" w:rsidRPr="005D65DE">
        <w:rPr>
          <w:color w:val="auto"/>
        </w:rPr>
        <w:lastRenderedPageBreak/>
        <w:t>būvniecībai pie Bunkas kultūras nama plānoti 17</w:t>
      </w:r>
      <w:r w:rsidR="00945EED" w:rsidRPr="005D65DE">
        <w:rPr>
          <w:color w:val="auto"/>
        </w:rPr>
        <w:t xml:space="preserve"> </w:t>
      </w:r>
      <w:r w:rsidR="00D640AC" w:rsidRPr="005D65DE">
        <w:rPr>
          <w:color w:val="auto"/>
        </w:rPr>
        <w:t xml:space="preserve">815 EUR. </w:t>
      </w:r>
      <w:r w:rsidR="00C5115E" w:rsidRPr="005D65DE">
        <w:rPr>
          <w:color w:val="auto"/>
        </w:rPr>
        <w:t xml:space="preserve">Gramzdas pagastā </w:t>
      </w:r>
      <w:r w:rsidR="002B55F4" w:rsidRPr="005D65DE">
        <w:rPr>
          <w:color w:val="auto"/>
        </w:rPr>
        <w:t>5</w:t>
      </w:r>
      <w:r w:rsidR="00945EED" w:rsidRPr="005D65DE">
        <w:rPr>
          <w:color w:val="auto"/>
        </w:rPr>
        <w:t xml:space="preserve"> </w:t>
      </w:r>
      <w:r w:rsidR="002B55F4" w:rsidRPr="005D65DE">
        <w:rPr>
          <w:color w:val="auto"/>
        </w:rPr>
        <w:t xml:space="preserve">000 EUR </w:t>
      </w:r>
      <w:r w:rsidR="00C5115E" w:rsidRPr="005D65DE">
        <w:rPr>
          <w:color w:val="auto"/>
        </w:rPr>
        <w:t>plānoti teritorijas sakārtošanas darbiem Dāmā un Aizvīķos, 2</w:t>
      </w:r>
      <w:r w:rsidR="00945EED" w:rsidRPr="005D65DE">
        <w:rPr>
          <w:color w:val="auto"/>
        </w:rPr>
        <w:t xml:space="preserve"> </w:t>
      </w:r>
      <w:r w:rsidR="00C5115E" w:rsidRPr="005D65DE">
        <w:rPr>
          <w:color w:val="auto"/>
        </w:rPr>
        <w:t>000 EUR celiņa sakārtošanai uz bērnu rotaļlaukumu, 10000 EUR bērnu rotaļlaukuma a</w:t>
      </w:r>
      <w:r w:rsidR="002B55F4" w:rsidRPr="005D65DE">
        <w:rPr>
          <w:color w:val="auto"/>
        </w:rPr>
        <w:t xml:space="preserve">prīkošanai ar iekārtām. </w:t>
      </w:r>
    </w:p>
    <w:p w:rsidR="002B55F4" w:rsidRDefault="002B55F4" w:rsidP="00C77F87">
      <w:pPr>
        <w:pStyle w:val="Default"/>
        <w:spacing w:line="276" w:lineRule="auto"/>
        <w:ind w:firstLine="720"/>
        <w:jc w:val="both"/>
        <w:rPr>
          <w:color w:val="auto"/>
        </w:rPr>
      </w:pPr>
      <w:r w:rsidRPr="005D65DE">
        <w:rPr>
          <w:color w:val="auto"/>
        </w:rPr>
        <w:t xml:space="preserve">Kalētu pagastā tiks īstenots Latvijas-Lietuvas pārrobežu projekts “Kalētu stadions”, kura </w:t>
      </w:r>
      <w:r w:rsidR="00C5115E" w:rsidRPr="005D65DE">
        <w:rPr>
          <w:color w:val="auto"/>
        </w:rPr>
        <w:t xml:space="preserve">būvniecībai plānots 315 881 EUR, piesaistot </w:t>
      </w:r>
      <w:r w:rsidRPr="005D65DE">
        <w:rPr>
          <w:color w:val="auto"/>
        </w:rPr>
        <w:t>projekta finansējumu</w:t>
      </w:r>
      <w:r w:rsidR="00C5115E" w:rsidRPr="005D65DE">
        <w:rPr>
          <w:color w:val="auto"/>
        </w:rPr>
        <w:t xml:space="preserve"> un ņemot aizņēmumu Valsts kasē. </w:t>
      </w:r>
      <w:r w:rsidR="00C77F87" w:rsidRPr="005D65DE">
        <w:rPr>
          <w:color w:val="auto"/>
        </w:rPr>
        <w:t xml:space="preserve"> </w:t>
      </w:r>
      <w:r w:rsidRPr="005D65DE">
        <w:rPr>
          <w:color w:val="auto"/>
        </w:rPr>
        <w:t>Projekta ietvaros plānoti arī izdevumi 23 530 EUR dažādu pārrobežu aktivitāšu organizēšanai.</w:t>
      </w:r>
      <w:r>
        <w:rPr>
          <w:color w:val="auto"/>
        </w:rPr>
        <w:t xml:space="preserve"> </w:t>
      </w:r>
    </w:p>
    <w:p w:rsidR="002B55F4" w:rsidRDefault="002B55F4" w:rsidP="00C77F87">
      <w:pPr>
        <w:pStyle w:val="Default"/>
        <w:spacing w:line="276" w:lineRule="auto"/>
        <w:ind w:firstLine="720"/>
        <w:jc w:val="both"/>
        <w:rPr>
          <w:color w:val="auto"/>
        </w:rPr>
      </w:pPr>
      <w:r>
        <w:rPr>
          <w:color w:val="auto"/>
        </w:rPr>
        <w:t>Virgas pagastā ielu apgaismojuma projekta izstrādei plānoti 4</w:t>
      </w:r>
      <w:r w:rsidR="00945EED">
        <w:rPr>
          <w:color w:val="auto"/>
        </w:rPr>
        <w:t xml:space="preserve"> </w:t>
      </w:r>
      <w:r>
        <w:rPr>
          <w:color w:val="auto"/>
        </w:rPr>
        <w:t>477 EUR.</w:t>
      </w:r>
    </w:p>
    <w:p w:rsidR="00D640AC" w:rsidRDefault="00C77F87" w:rsidP="00C77F87">
      <w:pPr>
        <w:pStyle w:val="Default"/>
        <w:spacing w:line="276" w:lineRule="auto"/>
        <w:ind w:firstLine="720"/>
        <w:jc w:val="both"/>
        <w:rPr>
          <w:color w:val="auto"/>
        </w:rPr>
      </w:pPr>
      <w:r>
        <w:rPr>
          <w:color w:val="auto"/>
        </w:rPr>
        <w:t>Priekules pilsētā</w:t>
      </w:r>
      <w:r w:rsidR="002B55F4">
        <w:rPr>
          <w:color w:val="auto"/>
        </w:rPr>
        <w:t>,</w:t>
      </w:r>
      <w:r>
        <w:rPr>
          <w:color w:val="auto"/>
        </w:rPr>
        <w:t xml:space="preserve"> </w:t>
      </w:r>
      <w:r w:rsidR="00203A89">
        <w:rPr>
          <w:color w:val="auto"/>
        </w:rPr>
        <w:t>piesaistot kredītlīdzekļus 126 000 EUR</w:t>
      </w:r>
      <w:r w:rsidR="002B55F4">
        <w:rPr>
          <w:color w:val="auto"/>
        </w:rPr>
        <w:t>,</w:t>
      </w:r>
      <w:r w:rsidR="00203A89">
        <w:rPr>
          <w:color w:val="auto"/>
        </w:rPr>
        <w:t xml:space="preserve"> tiks labiekārtota teritorija Aizputes ielā 5, 8</w:t>
      </w:r>
      <w:r w:rsidR="00945EED">
        <w:rPr>
          <w:color w:val="auto"/>
        </w:rPr>
        <w:t>.</w:t>
      </w:r>
      <w:r w:rsidR="00203A89">
        <w:rPr>
          <w:color w:val="auto"/>
        </w:rPr>
        <w:t xml:space="preserve"> </w:t>
      </w:r>
      <w:r w:rsidR="00945EED">
        <w:rPr>
          <w:color w:val="auto"/>
        </w:rPr>
        <w:t>Ielu apgaismojuma</w:t>
      </w:r>
      <w:r w:rsidR="00A9155B">
        <w:rPr>
          <w:color w:val="auto"/>
        </w:rPr>
        <w:t xml:space="preserve"> izbūve</w:t>
      </w:r>
      <w:r w:rsidR="00945EED">
        <w:rPr>
          <w:color w:val="auto"/>
        </w:rPr>
        <w:t xml:space="preserve"> Aizputes ielā </w:t>
      </w:r>
      <w:r w:rsidR="00203A89">
        <w:rPr>
          <w:color w:val="auto"/>
        </w:rPr>
        <w:t>24 200 EUR</w:t>
      </w:r>
      <w:r w:rsidR="00945EED">
        <w:rPr>
          <w:color w:val="auto"/>
        </w:rPr>
        <w:t xml:space="preserve"> arī</w:t>
      </w:r>
      <w:r w:rsidR="00203A89">
        <w:rPr>
          <w:color w:val="auto"/>
        </w:rPr>
        <w:t xml:space="preserve"> </w:t>
      </w:r>
      <w:r w:rsidR="00945EED">
        <w:rPr>
          <w:color w:val="auto"/>
        </w:rPr>
        <w:t>plānot</w:t>
      </w:r>
      <w:r w:rsidR="00A9155B">
        <w:rPr>
          <w:color w:val="auto"/>
        </w:rPr>
        <w:t>a</w:t>
      </w:r>
      <w:r w:rsidR="00945EED">
        <w:rPr>
          <w:color w:val="auto"/>
        </w:rPr>
        <w:t xml:space="preserve"> no kredīta līdzekļiem</w:t>
      </w:r>
      <w:r w:rsidR="00203A89">
        <w:rPr>
          <w:color w:val="auto"/>
        </w:rPr>
        <w:t>.</w:t>
      </w:r>
      <w:r>
        <w:rPr>
          <w:color w:val="auto"/>
        </w:rPr>
        <w:t xml:space="preserve"> </w:t>
      </w:r>
      <w:r w:rsidR="002B55F4">
        <w:rPr>
          <w:color w:val="auto"/>
        </w:rPr>
        <w:t xml:space="preserve">Trotuāra izbūvei Liepājas ielā </w:t>
      </w:r>
      <w:r w:rsidR="00945EED">
        <w:rPr>
          <w:color w:val="auto"/>
        </w:rPr>
        <w:t>ie</w:t>
      </w:r>
      <w:r w:rsidR="002B55F4">
        <w:rPr>
          <w:color w:val="auto"/>
        </w:rPr>
        <w:t>p</w:t>
      </w:r>
      <w:r w:rsidR="00D640AC">
        <w:rPr>
          <w:color w:val="auto"/>
        </w:rPr>
        <w:t>lānoti 10 000 EUR.</w:t>
      </w:r>
      <w:r w:rsidR="00945EED">
        <w:rPr>
          <w:color w:val="auto"/>
        </w:rPr>
        <w:t xml:space="preserve"> Plānots uzstādīt videokameras pie Priekules </w:t>
      </w:r>
      <w:r w:rsidR="00945EED" w:rsidRPr="00945EED">
        <w:rPr>
          <w:color w:val="auto"/>
        </w:rPr>
        <w:t>M</w:t>
      </w:r>
      <w:r w:rsidR="00945EED">
        <w:rPr>
          <w:color w:val="auto"/>
        </w:rPr>
        <w:t>MS</w:t>
      </w:r>
      <w:r w:rsidR="00945EED" w:rsidRPr="00945EED">
        <w:rPr>
          <w:color w:val="auto"/>
        </w:rPr>
        <w:t xml:space="preserve">, </w:t>
      </w:r>
      <w:r w:rsidR="00945EED">
        <w:rPr>
          <w:color w:val="auto"/>
        </w:rPr>
        <w:t xml:space="preserve">Priekules kultūras nama un </w:t>
      </w:r>
      <w:r w:rsidR="00945EED" w:rsidRPr="00945EED">
        <w:rPr>
          <w:color w:val="auto"/>
        </w:rPr>
        <w:t xml:space="preserve">antenas pie ūdenstorņa </w:t>
      </w:r>
      <w:r w:rsidR="00945EED">
        <w:rPr>
          <w:color w:val="auto"/>
        </w:rPr>
        <w:t>(</w:t>
      </w:r>
      <w:r w:rsidR="00945EED" w:rsidRPr="00945EED">
        <w:rPr>
          <w:color w:val="auto"/>
        </w:rPr>
        <w:t>3000 EUR</w:t>
      </w:r>
      <w:r w:rsidR="00945EED">
        <w:rPr>
          <w:color w:val="auto"/>
        </w:rPr>
        <w:t xml:space="preserve">), </w:t>
      </w:r>
      <w:r w:rsidR="00945EED" w:rsidRPr="00945EED">
        <w:rPr>
          <w:color w:val="auto"/>
        </w:rPr>
        <w:t>bērnu rotaļlauk</w:t>
      </w:r>
      <w:r w:rsidR="00945EED">
        <w:rPr>
          <w:color w:val="auto"/>
        </w:rPr>
        <w:t>uma</w:t>
      </w:r>
      <w:r w:rsidR="00945EED" w:rsidRPr="00945EED">
        <w:rPr>
          <w:color w:val="auto"/>
        </w:rPr>
        <w:t xml:space="preserve"> iekārt</w:t>
      </w:r>
      <w:r w:rsidR="00945EED">
        <w:rPr>
          <w:color w:val="auto"/>
        </w:rPr>
        <w:t>ām un</w:t>
      </w:r>
      <w:r w:rsidR="00945EED" w:rsidRPr="00945EED">
        <w:rPr>
          <w:color w:val="auto"/>
        </w:rPr>
        <w:t xml:space="preserve"> mājiņas remont</w:t>
      </w:r>
      <w:r w:rsidR="00945EED">
        <w:rPr>
          <w:color w:val="auto"/>
        </w:rPr>
        <w:t>am</w:t>
      </w:r>
      <w:r w:rsidR="00945EED" w:rsidRPr="00945EED">
        <w:rPr>
          <w:color w:val="auto"/>
        </w:rPr>
        <w:t xml:space="preserve"> </w:t>
      </w:r>
      <w:proofErr w:type="spellStart"/>
      <w:r w:rsidR="00945EED" w:rsidRPr="00945EED">
        <w:rPr>
          <w:color w:val="auto"/>
        </w:rPr>
        <w:t>Mazgramzd</w:t>
      </w:r>
      <w:r w:rsidR="00945EED">
        <w:rPr>
          <w:color w:val="auto"/>
        </w:rPr>
        <w:t>ā</w:t>
      </w:r>
      <w:proofErr w:type="spellEnd"/>
      <w:r w:rsidR="00945EED">
        <w:rPr>
          <w:color w:val="auto"/>
        </w:rPr>
        <w:t xml:space="preserve"> un</w:t>
      </w:r>
      <w:r w:rsidR="00945EED" w:rsidRPr="00945EED">
        <w:rPr>
          <w:color w:val="auto"/>
        </w:rPr>
        <w:t xml:space="preserve"> Kalneniek</w:t>
      </w:r>
      <w:r w:rsidR="00945EED">
        <w:rPr>
          <w:color w:val="auto"/>
        </w:rPr>
        <w:t>os</w:t>
      </w:r>
      <w:r w:rsidR="00945EED" w:rsidRPr="00945EED">
        <w:rPr>
          <w:color w:val="auto"/>
        </w:rPr>
        <w:t xml:space="preserve"> </w:t>
      </w:r>
      <w:r w:rsidR="00945EED">
        <w:rPr>
          <w:color w:val="auto"/>
        </w:rPr>
        <w:t>paredzēti</w:t>
      </w:r>
      <w:r w:rsidR="00945EED" w:rsidRPr="00945EED">
        <w:rPr>
          <w:color w:val="auto"/>
        </w:rPr>
        <w:t xml:space="preserve"> 1000 EUR</w:t>
      </w:r>
      <w:r w:rsidR="00945EED">
        <w:rPr>
          <w:color w:val="auto"/>
        </w:rPr>
        <w:t>, Brāļu kapu bruģīša remontam ieplānoti 1000 EUR.</w:t>
      </w:r>
    </w:p>
    <w:p w:rsidR="00D640AC" w:rsidRDefault="00D640AC" w:rsidP="00C77F87">
      <w:pPr>
        <w:pStyle w:val="Default"/>
        <w:spacing w:line="276" w:lineRule="auto"/>
        <w:ind w:firstLine="720"/>
        <w:jc w:val="both"/>
        <w:rPr>
          <w:color w:val="auto"/>
        </w:rPr>
      </w:pPr>
      <w:r>
        <w:rPr>
          <w:color w:val="auto"/>
        </w:rPr>
        <w:t xml:space="preserve"> </w:t>
      </w:r>
      <w:r w:rsidR="00C77F87">
        <w:rPr>
          <w:color w:val="auto"/>
        </w:rPr>
        <w:t>Deleģēšanas līgum</w:t>
      </w:r>
      <w:r>
        <w:rPr>
          <w:color w:val="auto"/>
        </w:rPr>
        <w:t>s</w:t>
      </w:r>
      <w:r w:rsidR="00C77F87">
        <w:rPr>
          <w:color w:val="auto"/>
        </w:rPr>
        <w:t xml:space="preserve"> ar SIA “Priekules nami ” </w:t>
      </w:r>
      <w:r w:rsidR="006328DC">
        <w:rPr>
          <w:color w:val="auto"/>
        </w:rPr>
        <w:t>147</w:t>
      </w:r>
      <w:r>
        <w:rPr>
          <w:color w:val="auto"/>
        </w:rPr>
        <w:t xml:space="preserve"> </w:t>
      </w:r>
      <w:r w:rsidR="006328DC">
        <w:rPr>
          <w:color w:val="auto"/>
        </w:rPr>
        <w:t>133</w:t>
      </w:r>
      <w:r w:rsidR="00C77F87">
        <w:rPr>
          <w:color w:val="auto"/>
        </w:rPr>
        <w:t xml:space="preserve"> EUR</w:t>
      </w:r>
      <w:r w:rsidR="00F50DD9" w:rsidRPr="00F50DD9">
        <w:rPr>
          <w:color w:val="auto"/>
        </w:rPr>
        <w:t xml:space="preserve"> </w:t>
      </w:r>
      <w:r w:rsidR="00F50DD9">
        <w:rPr>
          <w:color w:val="auto"/>
        </w:rPr>
        <w:t>par pilsētas teritorijas uzturēšanu</w:t>
      </w:r>
      <w:r w:rsidR="00203A89">
        <w:rPr>
          <w:color w:val="auto"/>
        </w:rPr>
        <w:t>,</w:t>
      </w:r>
      <w:r w:rsidRPr="00D640AC">
        <w:t xml:space="preserve"> </w:t>
      </w:r>
      <w:r w:rsidRPr="00D640AC">
        <w:rPr>
          <w:color w:val="auto"/>
        </w:rPr>
        <w:t xml:space="preserve">Bunkas pagastā plānoti </w:t>
      </w:r>
      <w:r>
        <w:rPr>
          <w:color w:val="auto"/>
        </w:rPr>
        <w:t>136 987</w:t>
      </w:r>
      <w:r w:rsidRPr="00D640AC">
        <w:rPr>
          <w:color w:val="auto"/>
        </w:rPr>
        <w:t xml:space="preserve"> EUR, </w:t>
      </w:r>
      <w:r w:rsidR="00F8420C">
        <w:rPr>
          <w:color w:val="auto"/>
        </w:rPr>
        <w:t xml:space="preserve">Gramzdas pagastā 84 673 EUR, </w:t>
      </w:r>
      <w:r w:rsidRPr="00D640AC">
        <w:rPr>
          <w:color w:val="auto"/>
        </w:rPr>
        <w:t xml:space="preserve">Kalētos </w:t>
      </w:r>
      <w:r>
        <w:rPr>
          <w:color w:val="auto"/>
        </w:rPr>
        <w:t>6</w:t>
      </w:r>
      <w:r w:rsidR="00F8420C">
        <w:rPr>
          <w:color w:val="auto"/>
        </w:rPr>
        <w:t>3</w:t>
      </w:r>
      <w:r>
        <w:rPr>
          <w:color w:val="auto"/>
        </w:rPr>
        <w:t xml:space="preserve"> 543</w:t>
      </w:r>
      <w:r w:rsidRPr="00D640AC">
        <w:rPr>
          <w:color w:val="auto"/>
        </w:rPr>
        <w:t xml:space="preserve"> EUR, Virgā </w:t>
      </w:r>
      <w:r>
        <w:rPr>
          <w:color w:val="auto"/>
        </w:rPr>
        <w:t>94 525</w:t>
      </w:r>
      <w:r w:rsidRPr="00D640AC">
        <w:rPr>
          <w:color w:val="auto"/>
        </w:rPr>
        <w:t xml:space="preserve"> EUR.</w:t>
      </w:r>
    </w:p>
    <w:p w:rsidR="00C77F87" w:rsidRPr="004B06A8" w:rsidRDefault="00572FEB" w:rsidP="00C77F87">
      <w:pPr>
        <w:pStyle w:val="Default"/>
        <w:spacing w:line="276" w:lineRule="auto"/>
        <w:ind w:firstLine="720"/>
        <w:jc w:val="both"/>
        <w:rPr>
          <w:color w:val="auto"/>
        </w:rPr>
      </w:pPr>
      <w:r w:rsidRPr="00572FEB">
        <w:rPr>
          <w:color w:val="auto"/>
        </w:rPr>
        <w:t xml:space="preserve">Plānoti </w:t>
      </w:r>
      <w:r w:rsidR="00C77F87" w:rsidRPr="00572FEB">
        <w:rPr>
          <w:color w:val="auto"/>
        </w:rPr>
        <w:t xml:space="preserve"> kap</w:t>
      </w:r>
      <w:r w:rsidR="00F8420C" w:rsidRPr="00572FEB">
        <w:rPr>
          <w:color w:val="auto"/>
        </w:rPr>
        <w:t>sētu</w:t>
      </w:r>
      <w:r w:rsidR="00C77F87" w:rsidRPr="00572FEB">
        <w:rPr>
          <w:color w:val="auto"/>
        </w:rPr>
        <w:t xml:space="preserve"> uzturēšanas un sakārtošanas un labiekārtošanas darbi – zvanu tor</w:t>
      </w:r>
      <w:r w:rsidRPr="00572FEB">
        <w:rPr>
          <w:color w:val="auto"/>
        </w:rPr>
        <w:t>ņa atjaunošana Bunkas Pētera kapos</w:t>
      </w:r>
      <w:r w:rsidR="00421A5E">
        <w:rPr>
          <w:color w:val="auto"/>
        </w:rPr>
        <w:t xml:space="preserve"> (1380EUR)</w:t>
      </w:r>
      <w:r w:rsidR="0084104D">
        <w:rPr>
          <w:color w:val="auto"/>
        </w:rPr>
        <w:t xml:space="preserve">, Kapličas priekštelpas  un zvanu torņa atjaunošana </w:t>
      </w:r>
      <w:r w:rsidR="00084CC1">
        <w:rPr>
          <w:color w:val="auto"/>
        </w:rPr>
        <w:t>Kalētu</w:t>
      </w:r>
      <w:r w:rsidR="0084104D">
        <w:rPr>
          <w:color w:val="auto"/>
        </w:rPr>
        <w:t xml:space="preserve"> kapos</w:t>
      </w:r>
      <w:r w:rsidR="00084CC1">
        <w:rPr>
          <w:color w:val="auto"/>
        </w:rPr>
        <w:t xml:space="preserve"> (1483EUR).</w:t>
      </w:r>
    </w:p>
    <w:p w:rsidR="00C77F87" w:rsidRDefault="00C77F87" w:rsidP="00A3137D">
      <w:pPr>
        <w:pStyle w:val="Default"/>
        <w:spacing w:line="276" w:lineRule="auto"/>
        <w:ind w:firstLine="720"/>
        <w:jc w:val="both"/>
        <w:rPr>
          <w:b/>
          <w:color w:val="auto"/>
        </w:rPr>
      </w:pPr>
    </w:p>
    <w:p w:rsidR="004B06A8" w:rsidRDefault="004B06A8" w:rsidP="00A3137D">
      <w:pPr>
        <w:pStyle w:val="Default"/>
        <w:spacing w:line="276" w:lineRule="auto"/>
        <w:ind w:firstLine="720"/>
        <w:jc w:val="both"/>
        <w:rPr>
          <w:color w:val="auto"/>
        </w:rPr>
      </w:pPr>
      <w:r w:rsidRPr="00A9155B">
        <w:rPr>
          <w:b/>
          <w:color w:val="auto"/>
        </w:rPr>
        <w:t>Veselības budžeta izdevumi plānoti 7</w:t>
      </w:r>
      <w:r w:rsidR="00F50DD9" w:rsidRPr="00A9155B">
        <w:rPr>
          <w:b/>
          <w:color w:val="auto"/>
        </w:rPr>
        <w:t xml:space="preserve">3 022 </w:t>
      </w:r>
      <w:r w:rsidRPr="00A9155B">
        <w:rPr>
          <w:b/>
          <w:color w:val="auto"/>
        </w:rPr>
        <w:t xml:space="preserve">EUR, </w:t>
      </w:r>
      <w:r w:rsidR="00F50DD9" w:rsidRPr="00A9155B">
        <w:rPr>
          <w:b/>
          <w:color w:val="auto"/>
        </w:rPr>
        <w:t>jeb</w:t>
      </w:r>
      <w:r w:rsidRPr="00A9155B">
        <w:rPr>
          <w:b/>
          <w:color w:val="auto"/>
        </w:rPr>
        <w:t xml:space="preserve"> </w:t>
      </w:r>
      <w:r w:rsidR="00F50DD9" w:rsidRPr="00A9155B">
        <w:rPr>
          <w:b/>
          <w:color w:val="auto"/>
        </w:rPr>
        <w:t>0,84</w:t>
      </w:r>
      <w:r w:rsidRPr="00A9155B">
        <w:rPr>
          <w:b/>
          <w:color w:val="auto"/>
        </w:rPr>
        <w:t>% no kopējiem izdevumiem.</w:t>
      </w:r>
      <w:r w:rsidRPr="00A9155B">
        <w:rPr>
          <w:color w:val="auto"/>
        </w:rPr>
        <w:t xml:space="preserve"> Šajā sadaļā plānoti izdevumi feldšeru punktu uzturēšanai, feldšeru atlīdzībai Bunkas, Gramzdas, Aizvīķu, Kalētu pagastos un Virgas veselības centra un medicīnas māsas uzturēšanai. Daļu no paredzētā finansējuma saņemam no Nacionālā veselības dienesta.</w:t>
      </w:r>
    </w:p>
    <w:p w:rsidR="00C77F87" w:rsidRPr="004B06A8" w:rsidRDefault="00C77F87" w:rsidP="00A3137D">
      <w:pPr>
        <w:pStyle w:val="Default"/>
        <w:spacing w:line="276" w:lineRule="auto"/>
        <w:ind w:firstLine="720"/>
        <w:jc w:val="both"/>
        <w:rPr>
          <w:bCs/>
          <w:color w:val="auto"/>
        </w:rPr>
      </w:pPr>
    </w:p>
    <w:p w:rsidR="00757E3E" w:rsidRPr="00A9155B" w:rsidRDefault="00757E3E" w:rsidP="00A3137D">
      <w:pPr>
        <w:pStyle w:val="Default"/>
        <w:spacing w:line="276" w:lineRule="auto"/>
        <w:ind w:firstLine="720"/>
        <w:jc w:val="both"/>
        <w:rPr>
          <w:color w:val="auto"/>
        </w:rPr>
      </w:pPr>
      <w:r w:rsidRPr="00A9155B">
        <w:rPr>
          <w:b/>
          <w:bCs/>
          <w:color w:val="auto"/>
        </w:rPr>
        <w:t xml:space="preserve">Kultūrai, atpūtai un sportam plānoti </w:t>
      </w:r>
      <w:r w:rsidR="00FB1294" w:rsidRPr="00A9155B">
        <w:rPr>
          <w:b/>
          <w:bCs/>
          <w:color w:val="auto"/>
        </w:rPr>
        <w:t>644 6</w:t>
      </w:r>
      <w:r w:rsidR="00155EB1" w:rsidRPr="00A9155B">
        <w:rPr>
          <w:b/>
          <w:bCs/>
          <w:color w:val="auto"/>
        </w:rPr>
        <w:t>4</w:t>
      </w:r>
      <w:r w:rsidR="00FB1294" w:rsidRPr="00A9155B">
        <w:rPr>
          <w:b/>
          <w:bCs/>
          <w:color w:val="auto"/>
        </w:rPr>
        <w:t>3</w:t>
      </w:r>
      <w:r w:rsidRPr="00A9155B">
        <w:rPr>
          <w:b/>
          <w:bCs/>
          <w:color w:val="auto"/>
        </w:rPr>
        <w:t xml:space="preserve"> EUR jeb </w:t>
      </w:r>
      <w:r w:rsidR="00FB1294" w:rsidRPr="00A9155B">
        <w:rPr>
          <w:b/>
          <w:bCs/>
          <w:color w:val="auto"/>
        </w:rPr>
        <w:t>7,4</w:t>
      </w:r>
      <w:r w:rsidRPr="00A9155B">
        <w:rPr>
          <w:b/>
          <w:bCs/>
          <w:color w:val="auto"/>
        </w:rPr>
        <w:t>% no kopējiem pamatbudžeta izdevumiem.</w:t>
      </w:r>
      <w:r w:rsidR="004B06A8" w:rsidRPr="00A9155B">
        <w:rPr>
          <w:color w:val="auto"/>
        </w:rPr>
        <w:t xml:space="preserve"> Sportam novadā plānoti </w:t>
      </w:r>
      <w:r w:rsidR="00F50DD9" w:rsidRPr="00A9155B">
        <w:rPr>
          <w:color w:val="auto"/>
        </w:rPr>
        <w:t>167 988</w:t>
      </w:r>
      <w:r w:rsidR="004B06A8" w:rsidRPr="00A9155B">
        <w:rPr>
          <w:color w:val="auto"/>
        </w:rPr>
        <w:t xml:space="preserve"> EUR, kas ir </w:t>
      </w:r>
      <w:r w:rsidR="00FB1294" w:rsidRPr="00A9155B">
        <w:rPr>
          <w:color w:val="auto"/>
        </w:rPr>
        <w:t>1,93</w:t>
      </w:r>
      <w:r w:rsidR="004B06A8" w:rsidRPr="00A9155B">
        <w:rPr>
          <w:color w:val="auto"/>
        </w:rPr>
        <w:t xml:space="preserve">% no kopējiem izdevumiem. Dalībai sacensībās un sacensību organizēšanas izdevumiem plānoti </w:t>
      </w:r>
      <w:r w:rsidR="00F50DD9" w:rsidRPr="00A9155B">
        <w:rPr>
          <w:color w:val="auto"/>
        </w:rPr>
        <w:t>6</w:t>
      </w:r>
      <w:r w:rsidR="00155EB1" w:rsidRPr="00A9155B">
        <w:rPr>
          <w:color w:val="auto"/>
        </w:rPr>
        <w:t xml:space="preserve"> </w:t>
      </w:r>
      <w:r w:rsidR="00F50DD9" w:rsidRPr="00A9155B">
        <w:rPr>
          <w:color w:val="auto"/>
        </w:rPr>
        <w:t>400</w:t>
      </w:r>
      <w:r w:rsidR="004B06A8" w:rsidRPr="00A9155B">
        <w:rPr>
          <w:color w:val="auto"/>
        </w:rPr>
        <w:t xml:space="preserve"> EUR, </w:t>
      </w:r>
      <w:r w:rsidR="00F50DD9" w:rsidRPr="00A9155B">
        <w:rPr>
          <w:color w:val="auto"/>
        </w:rPr>
        <w:t xml:space="preserve">sporta </w:t>
      </w:r>
      <w:r w:rsidR="004B06A8" w:rsidRPr="00A9155B">
        <w:rPr>
          <w:color w:val="auto"/>
        </w:rPr>
        <w:t xml:space="preserve">inventāram plānoti </w:t>
      </w:r>
      <w:r w:rsidR="00F50DD9" w:rsidRPr="00A9155B">
        <w:rPr>
          <w:color w:val="auto"/>
        </w:rPr>
        <w:t>5000</w:t>
      </w:r>
      <w:r w:rsidR="004B06A8" w:rsidRPr="00A9155B">
        <w:rPr>
          <w:color w:val="auto"/>
        </w:rPr>
        <w:t xml:space="preserve"> EUR</w:t>
      </w:r>
      <w:r w:rsidR="00F50DD9" w:rsidRPr="00A9155B">
        <w:rPr>
          <w:color w:val="auto"/>
        </w:rPr>
        <w:t xml:space="preserve">, </w:t>
      </w:r>
      <w:proofErr w:type="spellStart"/>
      <w:r w:rsidR="00F50DD9" w:rsidRPr="00A9155B">
        <w:rPr>
          <w:color w:val="auto"/>
        </w:rPr>
        <w:t>radiomikrofonu</w:t>
      </w:r>
      <w:proofErr w:type="spellEnd"/>
      <w:r w:rsidR="00F50DD9" w:rsidRPr="00A9155B">
        <w:rPr>
          <w:color w:val="auto"/>
        </w:rPr>
        <w:t xml:space="preserve"> iegādei – 1500EUR.</w:t>
      </w:r>
      <w:r w:rsidR="004B06A8" w:rsidRPr="00A9155B">
        <w:rPr>
          <w:color w:val="auto"/>
        </w:rPr>
        <w:t xml:space="preserve"> </w:t>
      </w:r>
    </w:p>
    <w:p w:rsidR="004B06A8" w:rsidRPr="00DF56A5" w:rsidRDefault="004B06A8" w:rsidP="00A3137D">
      <w:pPr>
        <w:pStyle w:val="Default"/>
        <w:spacing w:line="276" w:lineRule="auto"/>
        <w:ind w:firstLine="720"/>
        <w:jc w:val="both"/>
        <w:rPr>
          <w:color w:val="auto"/>
        </w:rPr>
      </w:pPr>
      <w:r w:rsidRPr="00DF56A5">
        <w:rPr>
          <w:color w:val="auto"/>
        </w:rPr>
        <w:t xml:space="preserve">Novada bibliotēku izdevumiem paredzēti </w:t>
      </w:r>
      <w:r w:rsidR="00FB1294" w:rsidRPr="00DF56A5">
        <w:rPr>
          <w:color w:val="auto"/>
        </w:rPr>
        <w:t>147 236</w:t>
      </w:r>
      <w:r w:rsidRPr="00DF56A5">
        <w:rPr>
          <w:color w:val="auto"/>
        </w:rPr>
        <w:t xml:space="preserve"> EUR jeb </w:t>
      </w:r>
      <w:r w:rsidR="00FB1294" w:rsidRPr="00DF56A5">
        <w:rPr>
          <w:color w:val="auto"/>
        </w:rPr>
        <w:t>1,69</w:t>
      </w:r>
      <w:r w:rsidRPr="00DF56A5">
        <w:rPr>
          <w:color w:val="auto"/>
        </w:rPr>
        <w:t>% no kopējiem izdevumiem. Preses izdevumu abonēšanai plānoti 4</w:t>
      </w:r>
      <w:r w:rsidR="00155EB1" w:rsidRPr="00DF56A5">
        <w:rPr>
          <w:color w:val="auto"/>
        </w:rPr>
        <w:t> </w:t>
      </w:r>
      <w:r w:rsidR="00FB1294" w:rsidRPr="00DF56A5">
        <w:rPr>
          <w:color w:val="auto"/>
        </w:rPr>
        <w:t>965</w:t>
      </w:r>
      <w:r w:rsidR="00155EB1" w:rsidRPr="00DF56A5">
        <w:rPr>
          <w:color w:val="auto"/>
        </w:rPr>
        <w:t xml:space="preserve"> </w:t>
      </w:r>
      <w:r w:rsidRPr="00DF56A5">
        <w:rPr>
          <w:color w:val="auto"/>
        </w:rPr>
        <w:t xml:space="preserve">EUR, grāmatu fondam </w:t>
      </w:r>
      <w:r w:rsidR="00FB1294" w:rsidRPr="00DF56A5">
        <w:rPr>
          <w:color w:val="auto"/>
        </w:rPr>
        <w:t xml:space="preserve">14 014 </w:t>
      </w:r>
      <w:r w:rsidRPr="00DF56A5">
        <w:rPr>
          <w:color w:val="auto"/>
        </w:rPr>
        <w:t xml:space="preserve">EUR, </w:t>
      </w:r>
      <w:r w:rsidR="00944311" w:rsidRPr="00DF56A5">
        <w:rPr>
          <w:color w:val="auto"/>
        </w:rPr>
        <w:t>i</w:t>
      </w:r>
      <w:r w:rsidRPr="00DF56A5">
        <w:rPr>
          <w:color w:val="auto"/>
        </w:rPr>
        <w:t xml:space="preserve">nventāram un aprīkojumam </w:t>
      </w:r>
      <w:r w:rsidR="00DF56A5" w:rsidRPr="00DF56A5">
        <w:rPr>
          <w:color w:val="auto"/>
        </w:rPr>
        <w:t>5 579</w:t>
      </w:r>
      <w:r w:rsidR="00155EB1" w:rsidRPr="00DF56A5">
        <w:rPr>
          <w:color w:val="auto"/>
        </w:rPr>
        <w:t xml:space="preserve"> </w:t>
      </w:r>
      <w:r w:rsidRPr="00DF56A5">
        <w:rPr>
          <w:color w:val="auto"/>
        </w:rPr>
        <w:t>EUR.</w:t>
      </w:r>
    </w:p>
    <w:p w:rsidR="004B06A8" w:rsidRPr="00DF56A5" w:rsidRDefault="004B06A8" w:rsidP="00A3137D">
      <w:pPr>
        <w:pStyle w:val="Default"/>
        <w:spacing w:line="276" w:lineRule="auto"/>
        <w:ind w:firstLine="720"/>
        <w:jc w:val="both"/>
        <w:rPr>
          <w:color w:val="auto"/>
        </w:rPr>
      </w:pPr>
      <w:r w:rsidRPr="00DF56A5">
        <w:rPr>
          <w:color w:val="auto"/>
        </w:rPr>
        <w:t xml:space="preserve">Kultūras namu, tautas namu, tradīciju namu uzturēšanai un kultūras pasākumu organizēšanai plānoti </w:t>
      </w:r>
      <w:r w:rsidR="00FB1294" w:rsidRPr="00DF56A5">
        <w:rPr>
          <w:color w:val="auto"/>
        </w:rPr>
        <w:t>36</w:t>
      </w:r>
      <w:r w:rsidR="00155EB1" w:rsidRPr="00DF56A5">
        <w:rPr>
          <w:color w:val="auto"/>
        </w:rPr>
        <w:t>1</w:t>
      </w:r>
      <w:r w:rsidR="00FB1294" w:rsidRPr="00DF56A5">
        <w:rPr>
          <w:color w:val="auto"/>
        </w:rPr>
        <w:t xml:space="preserve"> 239</w:t>
      </w:r>
      <w:r w:rsidRPr="00DF56A5">
        <w:rPr>
          <w:color w:val="auto"/>
        </w:rPr>
        <w:t xml:space="preserve"> EUR, kas ir </w:t>
      </w:r>
      <w:r w:rsidR="00155EB1" w:rsidRPr="00DF56A5">
        <w:rPr>
          <w:color w:val="auto"/>
        </w:rPr>
        <w:t>3,63</w:t>
      </w:r>
      <w:r w:rsidRPr="00DF56A5">
        <w:rPr>
          <w:color w:val="auto"/>
        </w:rPr>
        <w:t xml:space="preserve">% no kopējiem izdevumiem. Kultūras pasākumu organizēšanas izdevumi plānoti ap </w:t>
      </w:r>
      <w:r w:rsidR="00DF56A5" w:rsidRPr="00DF56A5">
        <w:rPr>
          <w:color w:val="auto"/>
        </w:rPr>
        <w:t>82 490</w:t>
      </w:r>
      <w:r w:rsidR="00515732" w:rsidRPr="00DF56A5">
        <w:rPr>
          <w:color w:val="auto"/>
        </w:rPr>
        <w:t xml:space="preserve"> </w:t>
      </w:r>
      <w:r w:rsidRPr="00DF56A5">
        <w:rPr>
          <w:color w:val="auto"/>
        </w:rPr>
        <w:t xml:space="preserve">EUR. Inventāra un aprīkojuma iegādei paredzēti </w:t>
      </w:r>
      <w:r w:rsidR="00515732" w:rsidRPr="00DF56A5">
        <w:rPr>
          <w:color w:val="auto"/>
        </w:rPr>
        <w:t>14 721</w:t>
      </w:r>
      <w:r w:rsidRPr="00DF56A5">
        <w:rPr>
          <w:color w:val="auto"/>
        </w:rPr>
        <w:t xml:space="preserve"> EUR. Plānot</w:t>
      </w:r>
      <w:r w:rsidR="00515732" w:rsidRPr="00DF56A5">
        <w:rPr>
          <w:color w:val="auto"/>
        </w:rPr>
        <w:t>a</w:t>
      </w:r>
      <w:r w:rsidRPr="00DF56A5">
        <w:rPr>
          <w:color w:val="auto"/>
        </w:rPr>
        <w:t xml:space="preserve"> </w:t>
      </w:r>
      <w:r w:rsidR="00515732" w:rsidRPr="00DF56A5">
        <w:rPr>
          <w:color w:val="auto"/>
        </w:rPr>
        <w:t>karogu izgatavošan</w:t>
      </w:r>
      <w:r w:rsidR="00DF56A5">
        <w:rPr>
          <w:color w:val="auto"/>
        </w:rPr>
        <w:t>a</w:t>
      </w:r>
      <w:r w:rsidR="00515732" w:rsidRPr="00DF56A5">
        <w:rPr>
          <w:color w:val="auto"/>
        </w:rPr>
        <w:t xml:space="preserve"> Dziesmu svētkiem</w:t>
      </w:r>
      <w:r w:rsidRPr="00DF56A5">
        <w:rPr>
          <w:color w:val="auto"/>
        </w:rPr>
        <w:t xml:space="preserve"> VPDK </w:t>
      </w:r>
      <w:proofErr w:type="spellStart"/>
      <w:r w:rsidRPr="00DF56A5">
        <w:rPr>
          <w:color w:val="auto"/>
        </w:rPr>
        <w:t>Duvzare</w:t>
      </w:r>
      <w:proofErr w:type="spellEnd"/>
      <w:r w:rsidR="00515732" w:rsidRPr="00DF56A5">
        <w:rPr>
          <w:color w:val="auto"/>
        </w:rPr>
        <w:t>,</w:t>
      </w:r>
      <w:r w:rsidRPr="00DF56A5">
        <w:rPr>
          <w:color w:val="auto"/>
        </w:rPr>
        <w:t xml:space="preserve"> </w:t>
      </w:r>
      <w:r w:rsidR="00515732" w:rsidRPr="00DF56A5">
        <w:rPr>
          <w:color w:val="auto"/>
        </w:rPr>
        <w:t xml:space="preserve">sieviešu korim un </w:t>
      </w:r>
      <w:r w:rsidRPr="00DF56A5">
        <w:rPr>
          <w:color w:val="auto"/>
        </w:rPr>
        <w:t xml:space="preserve">folkloras kopai </w:t>
      </w:r>
      <w:proofErr w:type="spellStart"/>
      <w:r w:rsidRPr="00DF56A5">
        <w:rPr>
          <w:color w:val="auto"/>
        </w:rPr>
        <w:t>Traistēni</w:t>
      </w:r>
      <w:proofErr w:type="spellEnd"/>
      <w:r w:rsidR="00206617" w:rsidRPr="00DF56A5">
        <w:rPr>
          <w:color w:val="auto"/>
        </w:rPr>
        <w:t xml:space="preserve">, ka arī tautas tērpu elementu papildinājums. </w:t>
      </w:r>
      <w:r w:rsidRPr="00DF56A5">
        <w:rPr>
          <w:color w:val="auto"/>
        </w:rPr>
        <w:t xml:space="preserve">Iestāžu remontiem paredzēti </w:t>
      </w:r>
      <w:r w:rsidR="00515732" w:rsidRPr="00DF56A5">
        <w:rPr>
          <w:color w:val="auto"/>
        </w:rPr>
        <w:t>13 510</w:t>
      </w:r>
      <w:r w:rsidRPr="00DF56A5">
        <w:rPr>
          <w:color w:val="auto"/>
        </w:rPr>
        <w:t xml:space="preserve"> EUR.</w:t>
      </w:r>
    </w:p>
    <w:p w:rsidR="004B06A8" w:rsidRPr="00A9155B" w:rsidRDefault="004B06A8" w:rsidP="00A3137D">
      <w:pPr>
        <w:pStyle w:val="Default"/>
        <w:spacing w:line="276" w:lineRule="auto"/>
        <w:ind w:firstLine="720"/>
        <w:jc w:val="both"/>
        <w:rPr>
          <w:color w:val="auto"/>
        </w:rPr>
      </w:pPr>
      <w:r w:rsidRPr="00DF56A5">
        <w:rPr>
          <w:color w:val="auto"/>
        </w:rPr>
        <w:t xml:space="preserve">Senlietu krātuvju uzturēšanai plānoti </w:t>
      </w:r>
      <w:r w:rsidR="00155EB1" w:rsidRPr="00DF56A5">
        <w:rPr>
          <w:color w:val="auto"/>
        </w:rPr>
        <w:t>13 180</w:t>
      </w:r>
      <w:r w:rsidRPr="00DF56A5">
        <w:rPr>
          <w:color w:val="auto"/>
        </w:rPr>
        <w:t xml:space="preserve"> EUR kas ir 0.</w:t>
      </w:r>
      <w:r w:rsidR="00155EB1" w:rsidRPr="00DF56A5">
        <w:rPr>
          <w:color w:val="auto"/>
        </w:rPr>
        <w:t>15</w:t>
      </w:r>
      <w:r w:rsidRPr="00DF56A5">
        <w:rPr>
          <w:color w:val="auto"/>
        </w:rPr>
        <w:t xml:space="preserve">% no kopējiem </w:t>
      </w:r>
      <w:r w:rsidRPr="00A9155B">
        <w:rPr>
          <w:color w:val="auto"/>
        </w:rPr>
        <w:t>izdevumiem.</w:t>
      </w:r>
    </w:p>
    <w:p w:rsidR="004B06A8" w:rsidRDefault="004B06A8" w:rsidP="00A3137D">
      <w:pPr>
        <w:pStyle w:val="Default"/>
        <w:spacing w:line="276" w:lineRule="auto"/>
        <w:ind w:firstLine="720"/>
        <w:jc w:val="both"/>
        <w:rPr>
          <w:color w:val="auto"/>
        </w:rPr>
      </w:pPr>
      <w:r w:rsidRPr="00A9155B">
        <w:rPr>
          <w:color w:val="auto"/>
        </w:rPr>
        <w:t>Novada pašvaldībā ir apstiprināts kultūras pasākumu plāns 201</w:t>
      </w:r>
      <w:r w:rsidR="00F50DD9" w:rsidRPr="00A9155B">
        <w:rPr>
          <w:color w:val="auto"/>
        </w:rPr>
        <w:t>8</w:t>
      </w:r>
      <w:r w:rsidRPr="00A9155B">
        <w:rPr>
          <w:color w:val="auto"/>
        </w:rPr>
        <w:t>.gadam.</w:t>
      </w:r>
    </w:p>
    <w:p w:rsidR="004B06A8" w:rsidRDefault="004B06A8" w:rsidP="00A3137D">
      <w:pPr>
        <w:pStyle w:val="Default"/>
        <w:spacing w:line="276" w:lineRule="auto"/>
        <w:ind w:firstLine="720"/>
        <w:jc w:val="both"/>
        <w:rPr>
          <w:b/>
          <w:bCs/>
          <w:color w:val="auto"/>
        </w:rPr>
      </w:pPr>
    </w:p>
    <w:p w:rsidR="004B06A8" w:rsidRDefault="004B06A8" w:rsidP="00A3137D">
      <w:pPr>
        <w:pStyle w:val="Default"/>
        <w:spacing w:line="276" w:lineRule="auto"/>
        <w:ind w:firstLine="720"/>
        <w:jc w:val="both"/>
        <w:rPr>
          <w:color w:val="auto"/>
        </w:rPr>
      </w:pPr>
      <w:r w:rsidRPr="004B06A8">
        <w:rPr>
          <w:b/>
          <w:bCs/>
          <w:color w:val="auto"/>
        </w:rPr>
        <w:lastRenderedPageBreak/>
        <w:t xml:space="preserve">Izglītības nozarei plānotais izdevumu apjoms ir </w:t>
      </w:r>
      <w:r w:rsidR="005E5BF6">
        <w:rPr>
          <w:b/>
          <w:bCs/>
          <w:color w:val="auto"/>
        </w:rPr>
        <w:t>2 894 624</w:t>
      </w:r>
      <w:r w:rsidRPr="004B06A8">
        <w:rPr>
          <w:b/>
          <w:bCs/>
          <w:color w:val="auto"/>
        </w:rPr>
        <w:t xml:space="preserve"> EUR</w:t>
      </w:r>
      <w:r>
        <w:rPr>
          <w:color w:val="auto"/>
        </w:rPr>
        <w:t xml:space="preserve"> </w:t>
      </w:r>
      <w:r w:rsidRPr="004B06A8">
        <w:rPr>
          <w:color w:val="auto"/>
        </w:rPr>
        <w:t xml:space="preserve">jeb </w:t>
      </w:r>
      <w:r w:rsidR="005E5BF6">
        <w:rPr>
          <w:b/>
          <w:bCs/>
          <w:color w:val="auto"/>
        </w:rPr>
        <w:t>33,21</w:t>
      </w:r>
      <w:r w:rsidRPr="004B06A8">
        <w:rPr>
          <w:b/>
          <w:bCs/>
          <w:color w:val="auto"/>
        </w:rPr>
        <w:t xml:space="preserve">% no pamatbudžeta kopējiem izdevumiem. </w:t>
      </w:r>
      <w:r w:rsidRPr="004B06A8">
        <w:rPr>
          <w:color w:val="auto"/>
        </w:rPr>
        <w:t xml:space="preserve">Mērķdotācija pedagoģisko darbinieku atalgojumam </w:t>
      </w:r>
      <w:r w:rsidR="00A547F0">
        <w:rPr>
          <w:color w:val="auto"/>
        </w:rPr>
        <w:t xml:space="preserve">tiek plānota astoņiem mēnešiem, arī MMS. Purmsātu speciālās skolas izdevumi no mērķdotācijas </w:t>
      </w:r>
      <w:r w:rsidR="00944311">
        <w:rPr>
          <w:color w:val="auto"/>
        </w:rPr>
        <w:t xml:space="preserve">arī </w:t>
      </w:r>
      <w:r w:rsidR="00A547F0">
        <w:rPr>
          <w:color w:val="auto"/>
        </w:rPr>
        <w:t>plānoti 8</w:t>
      </w:r>
      <w:r w:rsidR="00944311">
        <w:rPr>
          <w:color w:val="auto"/>
        </w:rPr>
        <w:t xml:space="preserve"> </w:t>
      </w:r>
      <w:r w:rsidR="00A547F0">
        <w:rPr>
          <w:color w:val="auto"/>
        </w:rPr>
        <w:t>mēnešiem.</w:t>
      </w:r>
    </w:p>
    <w:p w:rsidR="00A3137D" w:rsidRPr="008B7F51" w:rsidRDefault="00A3137D" w:rsidP="00944311">
      <w:pPr>
        <w:pStyle w:val="Default"/>
        <w:spacing w:line="276" w:lineRule="auto"/>
        <w:ind w:firstLine="720"/>
        <w:jc w:val="both"/>
        <w:rPr>
          <w:color w:val="auto"/>
        </w:rPr>
      </w:pPr>
      <w:r>
        <w:rPr>
          <w:color w:val="auto"/>
        </w:rPr>
        <w:t>No pašvaldības budžeta izglītībai novirzīti 1</w:t>
      </w:r>
      <w:r w:rsidR="00844988">
        <w:rPr>
          <w:color w:val="auto"/>
        </w:rPr>
        <w:t> 514 377</w:t>
      </w:r>
      <w:r>
        <w:rPr>
          <w:color w:val="auto"/>
        </w:rPr>
        <w:t xml:space="preserve"> EUR. </w:t>
      </w:r>
      <w:r w:rsidRPr="008B7F51">
        <w:rPr>
          <w:color w:val="auto"/>
        </w:rPr>
        <w:t xml:space="preserve">Pedagogu atlīdzībai no pašvaldības plānoti </w:t>
      </w:r>
      <w:r w:rsidR="00686143">
        <w:rPr>
          <w:color w:val="auto"/>
        </w:rPr>
        <w:t>202 955</w:t>
      </w:r>
      <w:r w:rsidRPr="008B7F51">
        <w:rPr>
          <w:color w:val="auto"/>
        </w:rPr>
        <w:t xml:space="preserve"> EUR</w:t>
      </w:r>
      <w:r w:rsidR="00686143">
        <w:rPr>
          <w:color w:val="auto"/>
        </w:rPr>
        <w:t xml:space="preserve">, tanī skaitā 20 000 </w:t>
      </w:r>
      <w:r w:rsidR="001E6538">
        <w:rPr>
          <w:color w:val="auto"/>
        </w:rPr>
        <w:t xml:space="preserve">EUR </w:t>
      </w:r>
      <w:r w:rsidR="00686143">
        <w:rPr>
          <w:color w:val="auto"/>
        </w:rPr>
        <w:t xml:space="preserve">atlaišanas pabalstiem </w:t>
      </w:r>
      <w:r w:rsidR="001E6538">
        <w:rPr>
          <w:color w:val="auto"/>
        </w:rPr>
        <w:t xml:space="preserve">Gramzdas skolas </w:t>
      </w:r>
      <w:r w:rsidR="00686143">
        <w:rPr>
          <w:color w:val="auto"/>
        </w:rPr>
        <w:t>darbiniekiem</w:t>
      </w:r>
      <w:r w:rsidRPr="008B7F51">
        <w:rPr>
          <w:color w:val="auto"/>
        </w:rPr>
        <w:t>. No Izglītības ministrijas dotācijas plānoti izdevumi 1 2</w:t>
      </w:r>
      <w:r w:rsidR="008B7F51" w:rsidRPr="008B7F51">
        <w:rPr>
          <w:color w:val="auto"/>
        </w:rPr>
        <w:t>13</w:t>
      </w:r>
      <w:r w:rsidRPr="008B7F51">
        <w:rPr>
          <w:color w:val="auto"/>
        </w:rPr>
        <w:t> </w:t>
      </w:r>
      <w:r w:rsidR="008B7F51" w:rsidRPr="008B7F51">
        <w:rPr>
          <w:color w:val="auto"/>
        </w:rPr>
        <w:t>240</w:t>
      </w:r>
      <w:r w:rsidRPr="008B7F51">
        <w:rPr>
          <w:color w:val="auto"/>
        </w:rPr>
        <w:t xml:space="preserve"> EUR, Kultūras ministrijas mērķdotācijas </w:t>
      </w:r>
      <w:r w:rsidR="008B7F51" w:rsidRPr="008B7F51">
        <w:rPr>
          <w:color w:val="auto"/>
        </w:rPr>
        <w:t>126 1047</w:t>
      </w:r>
      <w:r w:rsidRPr="008B7F51">
        <w:rPr>
          <w:color w:val="auto"/>
        </w:rPr>
        <w:t xml:space="preserve"> EUR, projektu līdzekļiem </w:t>
      </w:r>
      <w:r w:rsidR="00944311" w:rsidRPr="008B7F51">
        <w:rPr>
          <w:color w:val="auto"/>
        </w:rPr>
        <w:t>40900</w:t>
      </w:r>
      <w:r w:rsidRPr="008B7F51">
        <w:rPr>
          <w:color w:val="auto"/>
        </w:rPr>
        <w:t xml:space="preserve">EUR. </w:t>
      </w:r>
    </w:p>
    <w:p w:rsidR="00B90FE8" w:rsidRPr="00687529" w:rsidRDefault="00A3137D" w:rsidP="00A3137D">
      <w:pPr>
        <w:pStyle w:val="Default"/>
        <w:spacing w:line="276" w:lineRule="auto"/>
        <w:ind w:firstLine="720"/>
        <w:jc w:val="both"/>
        <w:rPr>
          <w:color w:val="auto"/>
        </w:rPr>
      </w:pPr>
      <w:r w:rsidRPr="00B90FE8">
        <w:rPr>
          <w:color w:val="auto"/>
        </w:rPr>
        <w:t>201</w:t>
      </w:r>
      <w:r w:rsidR="00B90FE8" w:rsidRPr="00B90FE8">
        <w:rPr>
          <w:color w:val="auto"/>
        </w:rPr>
        <w:t>8</w:t>
      </w:r>
      <w:r w:rsidRPr="00B90FE8">
        <w:rPr>
          <w:color w:val="auto"/>
        </w:rPr>
        <w:t xml:space="preserve">.gada budžetā </w:t>
      </w:r>
      <w:r w:rsidR="00B90FE8" w:rsidRPr="00B90FE8">
        <w:rPr>
          <w:color w:val="auto"/>
        </w:rPr>
        <w:t xml:space="preserve">pašvaldības izglītības iestādēs </w:t>
      </w:r>
      <w:r w:rsidRPr="00B90FE8">
        <w:rPr>
          <w:color w:val="auto"/>
        </w:rPr>
        <w:t xml:space="preserve">plānoti lielāki un mazāki remontdarbi. PII “Dzirnaviņas” </w:t>
      </w:r>
      <w:r w:rsidR="00B90FE8" w:rsidRPr="00B90FE8">
        <w:rPr>
          <w:color w:val="auto"/>
        </w:rPr>
        <w:t>telpu</w:t>
      </w:r>
      <w:r w:rsidRPr="00B90FE8">
        <w:rPr>
          <w:color w:val="auto"/>
        </w:rPr>
        <w:t xml:space="preserve"> remonts </w:t>
      </w:r>
      <w:r w:rsidR="00B90FE8" w:rsidRPr="00B90FE8">
        <w:rPr>
          <w:color w:val="auto"/>
        </w:rPr>
        <w:t xml:space="preserve">virtuvē </w:t>
      </w:r>
      <w:r w:rsidRPr="00B90FE8">
        <w:rPr>
          <w:color w:val="auto"/>
        </w:rPr>
        <w:t xml:space="preserve">plānots </w:t>
      </w:r>
      <w:r w:rsidR="00B90FE8" w:rsidRPr="00B90FE8">
        <w:rPr>
          <w:color w:val="auto"/>
        </w:rPr>
        <w:t>4000</w:t>
      </w:r>
      <w:r w:rsidRPr="00B90FE8">
        <w:rPr>
          <w:color w:val="auto"/>
        </w:rPr>
        <w:t xml:space="preserve"> EUR apmērā, žoga </w:t>
      </w:r>
      <w:r w:rsidR="00B90FE8" w:rsidRPr="00B90FE8">
        <w:rPr>
          <w:color w:val="auto"/>
        </w:rPr>
        <w:t xml:space="preserve">trešās </w:t>
      </w:r>
      <w:r w:rsidRPr="00B90FE8">
        <w:rPr>
          <w:color w:val="auto"/>
        </w:rPr>
        <w:t xml:space="preserve">daļas </w:t>
      </w:r>
      <w:r w:rsidR="00B90FE8" w:rsidRPr="00B90FE8">
        <w:rPr>
          <w:color w:val="auto"/>
        </w:rPr>
        <w:t>remonts</w:t>
      </w:r>
      <w:r w:rsidRPr="00B90FE8">
        <w:rPr>
          <w:color w:val="auto"/>
        </w:rPr>
        <w:t xml:space="preserve"> </w:t>
      </w:r>
      <w:r w:rsidR="00B90FE8" w:rsidRPr="00B90FE8">
        <w:rPr>
          <w:color w:val="auto"/>
        </w:rPr>
        <w:t xml:space="preserve">7700 </w:t>
      </w:r>
      <w:r w:rsidRPr="00B90FE8">
        <w:rPr>
          <w:color w:val="auto"/>
        </w:rPr>
        <w:t xml:space="preserve">EUR apmērā. Priekules vidusskolā telpu remontam plānoti </w:t>
      </w:r>
      <w:r w:rsidR="00B90FE8" w:rsidRPr="00B90FE8">
        <w:rPr>
          <w:color w:val="auto"/>
        </w:rPr>
        <w:t>12000</w:t>
      </w:r>
      <w:r w:rsidRPr="00B90FE8">
        <w:rPr>
          <w:color w:val="auto"/>
        </w:rPr>
        <w:t xml:space="preserve"> EUR</w:t>
      </w:r>
      <w:r w:rsidR="00B90FE8" w:rsidRPr="00B90FE8">
        <w:rPr>
          <w:color w:val="auto"/>
        </w:rPr>
        <w:t>, balkona trepju remonts 62329 EUR tiks veikts, piesaistot kredīta līdzekļus</w:t>
      </w:r>
      <w:r w:rsidRPr="00B90FE8">
        <w:rPr>
          <w:color w:val="auto"/>
        </w:rPr>
        <w:t xml:space="preserve">. Krotes </w:t>
      </w:r>
      <w:r w:rsidRPr="00687529">
        <w:rPr>
          <w:color w:val="auto"/>
        </w:rPr>
        <w:t xml:space="preserve">pamatskolā </w:t>
      </w:r>
      <w:r w:rsidR="00687529" w:rsidRPr="00687529">
        <w:rPr>
          <w:color w:val="auto"/>
        </w:rPr>
        <w:t>divu klašu un pirmā stāva gaiteņa remontam ieplānoti 27000 EUR</w:t>
      </w:r>
      <w:r w:rsidRPr="00687529">
        <w:rPr>
          <w:color w:val="auto"/>
        </w:rPr>
        <w:t>,</w:t>
      </w:r>
      <w:r w:rsidRPr="00A9155B">
        <w:rPr>
          <w:color w:val="auto"/>
        </w:rPr>
        <w:t xml:space="preserve"> Gramzdas pamatskol</w:t>
      </w:r>
      <w:r w:rsidR="001E6538">
        <w:rPr>
          <w:color w:val="auto"/>
        </w:rPr>
        <w:t>as ēkai</w:t>
      </w:r>
      <w:r w:rsidRPr="00A9155B">
        <w:rPr>
          <w:color w:val="auto"/>
        </w:rPr>
        <w:t xml:space="preserve"> lietus ūdens novadīšanai plānoti </w:t>
      </w:r>
      <w:r w:rsidR="00A9155B" w:rsidRPr="00A9155B">
        <w:rPr>
          <w:color w:val="auto"/>
        </w:rPr>
        <w:t>4000</w:t>
      </w:r>
      <w:r w:rsidRPr="00A9155B">
        <w:rPr>
          <w:color w:val="auto"/>
        </w:rPr>
        <w:t xml:space="preserve"> </w:t>
      </w:r>
      <w:r w:rsidRPr="00687529">
        <w:rPr>
          <w:color w:val="auto"/>
        </w:rPr>
        <w:t xml:space="preserve">EUR, Kalētu pamatskolā </w:t>
      </w:r>
      <w:r w:rsidR="00687529" w:rsidRPr="00687529">
        <w:rPr>
          <w:color w:val="auto"/>
        </w:rPr>
        <w:t>Mazās skolas sētas fasādes daļas remontam paredzēti 10545 EUR</w:t>
      </w:r>
      <w:r w:rsidRPr="00687529">
        <w:rPr>
          <w:color w:val="auto"/>
        </w:rPr>
        <w:t>. Virgas pamatskol</w:t>
      </w:r>
      <w:r w:rsidR="00687529" w:rsidRPr="00687529">
        <w:rPr>
          <w:color w:val="auto"/>
        </w:rPr>
        <w:t>as</w:t>
      </w:r>
      <w:r w:rsidRPr="00687529">
        <w:rPr>
          <w:color w:val="auto"/>
        </w:rPr>
        <w:t xml:space="preserve"> </w:t>
      </w:r>
      <w:r w:rsidR="00687529" w:rsidRPr="00687529">
        <w:rPr>
          <w:color w:val="auto"/>
        </w:rPr>
        <w:t>jumta austrumu un rietumu daļas remontam un austrumu daļas pamatu nostiprināšanai plānots piesaistīt kredītu līdzekļus 70</w:t>
      </w:r>
      <w:r w:rsidR="008B7F51">
        <w:rPr>
          <w:color w:val="auto"/>
        </w:rPr>
        <w:t xml:space="preserve"> </w:t>
      </w:r>
      <w:r w:rsidR="00687529" w:rsidRPr="00687529">
        <w:rPr>
          <w:color w:val="auto"/>
        </w:rPr>
        <w:t>039 EUR apmērā</w:t>
      </w:r>
      <w:r w:rsidRPr="00687529">
        <w:rPr>
          <w:color w:val="auto"/>
        </w:rPr>
        <w:t xml:space="preserve">. </w:t>
      </w:r>
    </w:p>
    <w:p w:rsidR="004B06A8" w:rsidRPr="00686143" w:rsidRDefault="00A3137D" w:rsidP="00A3137D">
      <w:pPr>
        <w:pStyle w:val="Default"/>
        <w:spacing w:line="276" w:lineRule="auto"/>
        <w:ind w:firstLine="720"/>
        <w:jc w:val="both"/>
        <w:rPr>
          <w:color w:val="auto"/>
        </w:rPr>
      </w:pPr>
      <w:r w:rsidRPr="00686143">
        <w:rPr>
          <w:color w:val="auto"/>
        </w:rPr>
        <w:t xml:space="preserve">No kopējiem izglītības izdevumiem mācību līdzekļu un materiālu iegādei plānoti </w:t>
      </w:r>
      <w:r w:rsidR="00241536" w:rsidRPr="00686143">
        <w:rPr>
          <w:color w:val="auto"/>
        </w:rPr>
        <w:t>3</w:t>
      </w:r>
      <w:r w:rsidR="00EC7334">
        <w:rPr>
          <w:color w:val="auto"/>
        </w:rPr>
        <w:t>5</w:t>
      </w:r>
      <w:r w:rsidR="00241536" w:rsidRPr="00686143">
        <w:rPr>
          <w:color w:val="auto"/>
        </w:rPr>
        <w:t>528</w:t>
      </w:r>
      <w:r w:rsidRPr="00686143">
        <w:rPr>
          <w:color w:val="auto"/>
        </w:rPr>
        <w:t xml:space="preserve"> EUR, no valsts budžeta plānoti 12 </w:t>
      </w:r>
      <w:r w:rsidR="00B90FE8" w:rsidRPr="00686143">
        <w:rPr>
          <w:color w:val="auto"/>
        </w:rPr>
        <w:t>51</w:t>
      </w:r>
      <w:r w:rsidRPr="00686143">
        <w:rPr>
          <w:color w:val="auto"/>
        </w:rPr>
        <w:t xml:space="preserve"> EUR, bet no pašvaldības budžeta </w:t>
      </w:r>
      <w:r w:rsidR="00241536" w:rsidRPr="00686143">
        <w:rPr>
          <w:color w:val="auto"/>
        </w:rPr>
        <w:t>2</w:t>
      </w:r>
      <w:r w:rsidR="00EC7334">
        <w:rPr>
          <w:color w:val="auto"/>
        </w:rPr>
        <w:t>3</w:t>
      </w:r>
      <w:r w:rsidR="00241536" w:rsidRPr="00686143">
        <w:rPr>
          <w:color w:val="auto"/>
        </w:rPr>
        <w:t>477</w:t>
      </w:r>
      <w:r w:rsidRPr="00686143">
        <w:rPr>
          <w:color w:val="auto"/>
        </w:rPr>
        <w:t xml:space="preserve"> EUR. Ēdināšanas atbalstam </w:t>
      </w:r>
      <w:proofErr w:type="spellStart"/>
      <w:r w:rsidRPr="00686143">
        <w:rPr>
          <w:color w:val="auto"/>
        </w:rPr>
        <w:t>daudzbērnu</w:t>
      </w:r>
      <w:proofErr w:type="spellEnd"/>
      <w:r w:rsidRPr="00686143">
        <w:rPr>
          <w:color w:val="auto"/>
        </w:rPr>
        <w:t xml:space="preserve"> un aizbildņu ģimenēm – </w:t>
      </w:r>
      <w:r w:rsidR="00241536" w:rsidRPr="00686143">
        <w:rPr>
          <w:color w:val="auto"/>
        </w:rPr>
        <w:t>15550</w:t>
      </w:r>
      <w:r w:rsidRPr="00686143">
        <w:rPr>
          <w:color w:val="auto"/>
        </w:rPr>
        <w:t xml:space="preserve"> EUR, stipendijām vidusskolā 2650 EUR. Sporta skolas izdevumi ir 623</w:t>
      </w:r>
      <w:r w:rsidR="00241536" w:rsidRPr="00686143">
        <w:rPr>
          <w:color w:val="auto"/>
        </w:rPr>
        <w:t>8</w:t>
      </w:r>
      <w:r w:rsidRPr="00686143">
        <w:rPr>
          <w:color w:val="auto"/>
        </w:rPr>
        <w:t xml:space="preserve"> EUR, Izglītības vadības nodrošināšanai </w:t>
      </w:r>
      <w:r w:rsidR="00686143">
        <w:rPr>
          <w:color w:val="auto"/>
        </w:rPr>
        <w:t>32 141</w:t>
      </w:r>
      <w:r w:rsidRPr="00686143">
        <w:rPr>
          <w:color w:val="auto"/>
        </w:rPr>
        <w:t xml:space="preserve"> EUR. </w:t>
      </w:r>
      <w:r w:rsidR="004B06A8" w:rsidRPr="00686143">
        <w:rPr>
          <w:color w:val="auto"/>
        </w:rPr>
        <w:t xml:space="preserve">Skolēnu pārvadājumu nodrošināšanai paredzēti </w:t>
      </w:r>
      <w:r w:rsidR="00B90FE8" w:rsidRPr="00686143">
        <w:rPr>
          <w:color w:val="auto"/>
        </w:rPr>
        <w:t>150 287</w:t>
      </w:r>
      <w:r w:rsidR="004B06A8" w:rsidRPr="00686143">
        <w:rPr>
          <w:color w:val="auto"/>
        </w:rPr>
        <w:t xml:space="preserve"> EUR</w:t>
      </w:r>
      <w:r w:rsidR="00B90FE8" w:rsidRPr="00686143">
        <w:rPr>
          <w:color w:val="auto"/>
        </w:rPr>
        <w:t>.</w:t>
      </w:r>
    </w:p>
    <w:p w:rsidR="00C77F87" w:rsidRPr="005F3548" w:rsidRDefault="00C77F87" w:rsidP="00D87750">
      <w:pPr>
        <w:pStyle w:val="Default"/>
        <w:spacing w:line="276" w:lineRule="auto"/>
        <w:ind w:firstLine="720"/>
        <w:jc w:val="both"/>
        <w:rPr>
          <w:b/>
          <w:bCs/>
          <w:color w:val="auto"/>
          <w:highlight w:val="cyan"/>
        </w:rPr>
      </w:pPr>
    </w:p>
    <w:p w:rsidR="004B06A8" w:rsidRPr="001E6538" w:rsidRDefault="00D87750" w:rsidP="00D87750">
      <w:pPr>
        <w:pStyle w:val="Default"/>
        <w:spacing w:line="276" w:lineRule="auto"/>
        <w:ind w:firstLine="720"/>
        <w:jc w:val="both"/>
        <w:rPr>
          <w:bCs/>
          <w:color w:val="auto"/>
        </w:rPr>
      </w:pPr>
      <w:r w:rsidRPr="001E6538">
        <w:rPr>
          <w:b/>
          <w:bCs/>
          <w:color w:val="auto"/>
        </w:rPr>
        <w:t xml:space="preserve">Sociālajai aizsardzībai paredzēti izdevumi </w:t>
      </w:r>
      <w:r w:rsidR="001E6538" w:rsidRPr="001E6538">
        <w:rPr>
          <w:b/>
          <w:bCs/>
          <w:color w:val="auto"/>
        </w:rPr>
        <w:t>455 966</w:t>
      </w:r>
      <w:r w:rsidRPr="001E6538">
        <w:rPr>
          <w:b/>
          <w:bCs/>
          <w:color w:val="auto"/>
        </w:rPr>
        <w:t xml:space="preserve"> EUR jeb 5.</w:t>
      </w:r>
      <w:r w:rsidR="001E6538" w:rsidRPr="001E6538">
        <w:rPr>
          <w:b/>
          <w:bCs/>
          <w:color w:val="auto"/>
        </w:rPr>
        <w:t>23</w:t>
      </w:r>
      <w:r w:rsidRPr="001E6538">
        <w:rPr>
          <w:b/>
          <w:bCs/>
          <w:color w:val="auto"/>
        </w:rPr>
        <w:t xml:space="preserve">% no kopējiem pamatbudžeta izdevumiem. </w:t>
      </w:r>
      <w:r w:rsidRPr="001E6538">
        <w:rPr>
          <w:bCs/>
          <w:color w:val="auto"/>
        </w:rPr>
        <w:t xml:space="preserve">Bāriņtiesas darbības nodrošināšanai plānoti </w:t>
      </w:r>
      <w:r w:rsidR="001E6538" w:rsidRPr="001E6538">
        <w:rPr>
          <w:bCs/>
          <w:color w:val="auto"/>
        </w:rPr>
        <w:t>66 473</w:t>
      </w:r>
      <w:r w:rsidRPr="001E6538">
        <w:rPr>
          <w:bCs/>
          <w:color w:val="auto"/>
        </w:rPr>
        <w:t xml:space="preserve"> EUR, kas ir 0.</w:t>
      </w:r>
      <w:r w:rsidR="001E6538" w:rsidRPr="001E6538">
        <w:rPr>
          <w:bCs/>
          <w:color w:val="auto"/>
        </w:rPr>
        <w:t>76</w:t>
      </w:r>
      <w:r w:rsidRPr="001E6538">
        <w:rPr>
          <w:bCs/>
          <w:color w:val="auto"/>
        </w:rPr>
        <w:t xml:space="preserve">% no kopējiem izdevumiem. Sociālā dienesta izdevumi plānoti </w:t>
      </w:r>
      <w:r w:rsidR="001E6538" w:rsidRPr="001E6538">
        <w:rPr>
          <w:bCs/>
          <w:color w:val="auto"/>
        </w:rPr>
        <w:t>340 501</w:t>
      </w:r>
      <w:r w:rsidRPr="001E6538">
        <w:rPr>
          <w:bCs/>
          <w:color w:val="auto"/>
        </w:rPr>
        <w:t xml:space="preserve"> EUR, kas ir 3.9</w:t>
      </w:r>
      <w:r w:rsidR="001E6538" w:rsidRPr="001E6538">
        <w:rPr>
          <w:bCs/>
          <w:color w:val="auto"/>
        </w:rPr>
        <w:t>1</w:t>
      </w:r>
      <w:r w:rsidRPr="001E6538">
        <w:rPr>
          <w:bCs/>
          <w:color w:val="auto"/>
        </w:rPr>
        <w:t xml:space="preserve">% no kopējiem izdevumiem. Lielāko izdevumu daļu sastāda dažāda veida sociālie pabalsti. 2017.gada budžetā plānoti pabalsti </w:t>
      </w:r>
      <w:r w:rsidR="001E6538" w:rsidRPr="001E6538">
        <w:rPr>
          <w:bCs/>
          <w:color w:val="auto"/>
        </w:rPr>
        <w:t>198 899</w:t>
      </w:r>
      <w:r w:rsidRPr="001E6538">
        <w:rPr>
          <w:bCs/>
          <w:color w:val="auto"/>
        </w:rPr>
        <w:t xml:space="preserve"> EUR apmērā.</w:t>
      </w:r>
    </w:p>
    <w:p w:rsidR="00D87750" w:rsidRDefault="00D87750" w:rsidP="00D87750">
      <w:pPr>
        <w:pStyle w:val="Default"/>
        <w:spacing w:line="276" w:lineRule="auto"/>
        <w:ind w:firstLine="720"/>
        <w:jc w:val="both"/>
        <w:rPr>
          <w:bCs/>
          <w:color w:val="auto"/>
        </w:rPr>
      </w:pPr>
      <w:r w:rsidRPr="001E6538">
        <w:rPr>
          <w:bCs/>
          <w:color w:val="auto"/>
        </w:rPr>
        <w:t xml:space="preserve">Sociālā atbalsta centra izdevumiem Priekulē plānoti </w:t>
      </w:r>
      <w:r w:rsidR="001E6538" w:rsidRPr="001E6538">
        <w:rPr>
          <w:bCs/>
          <w:color w:val="auto"/>
        </w:rPr>
        <w:t>41664</w:t>
      </w:r>
      <w:r w:rsidRPr="001E6538">
        <w:rPr>
          <w:bCs/>
          <w:color w:val="auto"/>
        </w:rPr>
        <w:t xml:space="preserve"> EUR, Kalētos </w:t>
      </w:r>
      <w:r w:rsidR="001E6538" w:rsidRPr="001E6538">
        <w:rPr>
          <w:bCs/>
          <w:color w:val="auto"/>
        </w:rPr>
        <w:t>7328</w:t>
      </w:r>
      <w:r w:rsidRPr="001E6538">
        <w:rPr>
          <w:bCs/>
          <w:color w:val="auto"/>
        </w:rPr>
        <w:t xml:space="preserve"> EUR.</w:t>
      </w:r>
    </w:p>
    <w:p w:rsidR="001803A8" w:rsidRDefault="001803A8" w:rsidP="00D87750">
      <w:pPr>
        <w:pStyle w:val="Default"/>
        <w:spacing w:line="276" w:lineRule="auto"/>
        <w:ind w:firstLine="720"/>
        <w:jc w:val="both"/>
        <w:rPr>
          <w:bCs/>
          <w:color w:val="auto"/>
        </w:rPr>
      </w:pPr>
    </w:p>
    <w:p w:rsidR="00C77F87" w:rsidRDefault="00C77F87">
      <w:pPr>
        <w:rPr>
          <w:rFonts w:ascii="Times New Roman" w:hAnsi="Times New Roman" w:cs="Times New Roman"/>
          <w:bCs/>
          <w:sz w:val="24"/>
          <w:szCs w:val="24"/>
        </w:rPr>
      </w:pPr>
      <w:r>
        <w:rPr>
          <w:bCs/>
        </w:rPr>
        <w:br w:type="page"/>
      </w:r>
    </w:p>
    <w:p w:rsidR="001803A8" w:rsidRDefault="001803A8" w:rsidP="00D87750">
      <w:pPr>
        <w:pStyle w:val="Default"/>
        <w:spacing w:line="276" w:lineRule="auto"/>
        <w:ind w:firstLine="720"/>
        <w:jc w:val="both"/>
        <w:rPr>
          <w:bCs/>
          <w:color w:val="auto"/>
        </w:rPr>
      </w:pPr>
      <w:r>
        <w:rPr>
          <w:bCs/>
          <w:color w:val="auto"/>
        </w:rPr>
        <w:lastRenderedPageBreak/>
        <w:t xml:space="preserve">Pašvaldības izdevumi iedalās arī pēc ekonomiskās klasifikācijas. Attēlā parādīts procentuālais sadalījums pēc </w:t>
      </w:r>
      <w:r w:rsidR="005F3548">
        <w:rPr>
          <w:bCs/>
          <w:color w:val="auto"/>
        </w:rPr>
        <w:t>ekonomiskajām kategorijām</w:t>
      </w:r>
      <w:r>
        <w:rPr>
          <w:bCs/>
          <w:color w:val="auto"/>
        </w:rPr>
        <w:t xml:space="preserve">. </w:t>
      </w:r>
    </w:p>
    <w:p w:rsidR="001E6538" w:rsidRDefault="001E6538" w:rsidP="00D87750">
      <w:pPr>
        <w:pStyle w:val="Default"/>
        <w:spacing w:line="276" w:lineRule="auto"/>
        <w:ind w:firstLine="720"/>
        <w:jc w:val="both"/>
        <w:rPr>
          <w:bCs/>
          <w:color w:val="auto"/>
        </w:rPr>
      </w:pPr>
    </w:p>
    <w:p w:rsidR="00944311" w:rsidRDefault="00944311" w:rsidP="005D65DE">
      <w:pPr>
        <w:pStyle w:val="Default"/>
        <w:spacing w:line="276" w:lineRule="auto"/>
        <w:ind w:left="-284"/>
        <w:jc w:val="both"/>
        <w:rPr>
          <w:bCs/>
          <w:color w:val="auto"/>
        </w:rPr>
      </w:pPr>
      <w:r>
        <w:rPr>
          <w:noProof/>
          <w:lang w:eastAsia="lv-LV"/>
        </w:rPr>
        <w:drawing>
          <wp:inline distT="0" distB="0" distL="0" distR="0" wp14:anchorId="7E24A832" wp14:editId="688E6B76">
            <wp:extent cx="6242685" cy="3878580"/>
            <wp:effectExtent l="0" t="0" r="5715" b="762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DD4B4C-5082-4AA3-BC0E-93DEDC8DE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4B7" w:rsidRDefault="00A674B7" w:rsidP="00A674B7">
      <w:pPr>
        <w:pStyle w:val="Default"/>
        <w:spacing w:line="276" w:lineRule="auto"/>
        <w:jc w:val="center"/>
        <w:rPr>
          <w:bCs/>
          <w:color w:val="auto"/>
        </w:rPr>
      </w:pPr>
    </w:p>
    <w:p w:rsidR="00A674B7" w:rsidRDefault="00A674B7" w:rsidP="00A674B7">
      <w:pPr>
        <w:pStyle w:val="Default"/>
        <w:spacing w:line="276" w:lineRule="auto"/>
        <w:jc w:val="center"/>
        <w:rPr>
          <w:bCs/>
          <w:color w:val="auto"/>
        </w:rPr>
      </w:pPr>
      <w:r w:rsidRPr="00A674B7">
        <w:rPr>
          <w:bCs/>
          <w:color w:val="auto"/>
        </w:rPr>
        <w:t xml:space="preserve">3.att. Pamatbudžeta izdevumu struktūra pēc </w:t>
      </w:r>
      <w:r w:rsidR="00AD2337">
        <w:rPr>
          <w:bCs/>
          <w:color w:val="auto"/>
        </w:rPr>
        <w:t>ekonomiskajām kategorijām</w:t>
      </w:r>
    </w:p>
    <w:p w:rsidR="001803A8" w:rsidRDefault="001803A8" w:rsidP="00A674B7">
      <w:pPr>
        <w:pStyle w:val="Default"/>
        <w:spacing w:line="276" w:lineRule="auto"/>
        <w:jc w:val="center"/>
        <w:rPr>
          <w:bCs/>
          <w:color w:val="auto"/>
        </w:rPr>
      </w:pPr>
    </w:p>
    <w:p w:rsidR="001803A8" w:rsidRDefault="001803A8" w:rsidP="001803A8">
      <w:pPr>
        <w:pStyle w:val="Default"/>
        <w:spacing w:line="276" w:lineRule="auto"/>
        <w:ind w:firstLine="720"/>
        <w:jc w:val="both"/>
        <w:rPr>
          <w:bCs/>
          <w:color w:val="auto"/>
        </w:rPr>
      </w:pPr>
      <w:r>
        <w:rPr>
          <w:bCs/>
          <w:color w:val="auto"/>
        </w:rPr>
        <w:t xml:space="preserve">No kopējiem pamatbudžeta izdevumiem </w:t>
      </w:r>
      <w:r w:rsidR="005F3548">
        <w:rPr>
          <w:bCs/>
          <w:color w:val="auto"/>
        </w:rPr>
        <w:t>4</w:t>
      </w:r>
      <w:r>
        <w:rPr>
          <w:bCs/>
          <w:color w:val="auto"/>
        </w:rPr>
        <w:t>3 % tiek tērēti atlīdzībai. Šie procenti rēķināti</w:t>
      </w:r>
      <w:r w:rsidR="005F3548">
        <w:rPr>
          <w:bCs/>
          <w:color w:val="auto"/>
        </w:rPr>
        <w:t>,</w:t>
      </w:r>
      <w:r>
        <w:rPr>
          <w:bCs/>
          <w:color w:val="auto"/>
        </w:rPr>
        <w:t xml:space="preserve"> ņemot vērā MD izglītībai. </w:t>
      </w:r>
      <w:r w:rsidRPr="00AD2337">
        <w:rPr>
          <w:bCs/>
          <w:color w:val="auto"/>
        </w:rPr>
        <w:t>Bez mērķdotācijā</w:t>
      </w:r>
      <w:r w:rsidR="005F3548" w:rsidRPr="00AD2337">
        <w:rPr>
          <w:bCs/>
          <w:color w:val="auto"/>
        </w:rPr>
        <w:t>m</w:t>
      </w:r>
      <w:r w:rsidRPr="00AD2337">
        <w:rPr>
          <w:bCs/>
          <w:color w:val="auto"/>
        </w:rPr>
        <w:t xml:space="preserve"> pašvaldībai atlīdzībai tiek tērēti </w:t>
      </w:r>
      <w:r w:rsidR="00AD2337" w:rsidRPr="00AD2337">
        <w:rPr>
          <w:bCs/>
          <w:color w:val="auto"/>
        </w:rPr>
        <w:t>42,87</w:t>
      </w:r>
      <w:r w:rsidRPr="00AD2337">
        <w:rPr>
          <w:bCs/>
          <w:color w:val="auto"/>
        </w:rPr>
        <w:t>% no kopējiem izdevumiem bez MD.</w:t>
      </w:r>
      <w:r>
        <w:rPr>
          <w:bCs/>
          <w:color w:val="auto"/>
        </w:rPr>
        <w:t xml:space="preserve"> </w:t>
      </w:r>
      <w:r w:rsidR="005F3548">
        <w:rPr>
          <w:bCs/>
          <w:color w:val="auto"/>
        </w:rPr>
        <w:t>19</w:t>
      </w:r>
      <w:r>
        <w:rPr>
          <w:bCs/>
          <w:color w:val="auto"/>
        </w:rPr>
        <w:t xml:space="preserve">% no izdevumiem plānoti precēm un pakalpojumiem, </w:t>
      </w:r>
      <w:r w:rsidR="005F3548">
        <w:rPr>
          <w:bCs/>
          <w:color w:val="auto"/>
        </w:rPr>
        <w:t>32</w:t>
      </w:r>
      <w:r>
        <w:rPr>
          <w:bCs/>
          <w:color w:val="auto"/>
        </w:rPr>
        <w:t xml:space="preserve">% plānoti pamatkapitāla palielināšanai. Pārējiem izdevumiem plānotais ir līdz </w:t>
      </w:r>
      <w:r w:rsidR="005F3548">
        <w:rPr>
          <w:bCs/>
          <w:color w:val="auto"/>
        </w:rPr>
        <w:t>6</w:t>
      </w:r>
      <w:r>
        <w:rPr>
          <w:bCs/>
          <w:color w:val="auto"/>
        </w:rPr>
        <w:t>%.</w:t>
      </w:r>
    </w:p>
    <w:p w:rsidR="00E431C5" w:rsidRDefault="00E431C5" w:rsidP="001803A8">
      <w:pPr>
        <w:pStyle w:val="Default"/>
        <w:spacing w:line="276" w:lineRule="auto"/>
        <w:ind w:firstLine="720"/>
        <w:jc w:val="both"/>
        <w:rPr>
          <w:bCs/>
          <w:color w:val="auto"/>
        </w:rPr>
      </w:pPr>
    </w:p>
    <w:p w:rsidR="00E431C5" w:rsidRDefault="00E431C5" w:rsidP="001803A8">
      <w:pPr>
        <w:pStyle w:val="Default"/>
        <w:spacing w:line="276" w:lineRule="auto"/>
        <w:ind w:firstLine="720"/>
        <w:jc w:val="both"/>
        <w:rPr>
          <w:b/>
          <w:bCs/>
          <w:color w:val="auto"/>
        </w:rPr>
      </w:pPr>
      <w:r>
        <w:rPr>
          <w:b/>
          <w:bCs/>
          <w:color w:val="auto"/>
        </w:rPr>
        <w:t>Finansēšana.</w:t>
      </w:r>
    </w:p>
    <w:p w:rsidR="00E431C5" w:rsidRDefault="00E431C5" w:rsidP="001803A8">
      <w:pPr>
        <w:pStyle w:val="Default"/>
        <w:spacing w:line="276" w:lineRule="auto"/>
        <w:ind w:firstLine="720"/>
        <w:jc w:val="both"/>
        <w:rPr>
          <w:b/>
          <w:bCs/>
          <w:color w:val="auto"/>
        </w:rPr>
      </w:pPr>
    </w:p>
    <w:p w:rsidR="00E431C5" w:rsidRPr="000E6630" w:rsidRDefault="00E431C5" w:rsidP="001803A8">
      <w:pPr>
        <w:pStyle w:val="Default"/>
        <w:spacing w:line="276" w:lineRule="auto"/>
        <w:ind w:firstLine="720"/>
        <w:jc w:val="both"/>
        <w:rPr>
          <w:bCs/>
          <w:color w:val="auto"/>
        </w:rPr>
      </w:pPr>
      <w:r w:rsidRPr="000E6630">
        <w:rPr>
          <w:bCs/>
          <w:color w:val="auto"/>
        </w:rPr>
        <w:t xml:space="preserve">Pamatbudžeta izdevumu deficīts tiek segts no iepriekšējā gada līdzekļu atlikuma </w:t>
      </w:r>
      <w:r w:rsidR="000E6630">
        <w:rPr>
          <w:bCs/>
          <w:color w:val="auto"/>
        </w:rPr>
        <w:t>pašvaldības</w:t>
      </w:r>
      <w:r w:rsidR="005D65DE">
        <w:rPr>
          <w:bCs/>
          <w:color w:val="auto"/>
        </w:rPr>
        <w:t xml:space="preserve"> pamatbudžeta</w:t>
      </w:r>
      <w:r w:rsidR="000E6630">
        <w:rPr>
          <w:bCs/>
          <w:color w:val="auto"/>
        </w:rPr>
        <w:t xml:space="preserve"> kontos un kasēs </w:t>
      </w:r>
      <w:r w:rsidR="000E6630" w:rsidRPr="000E6630">
        <w:rPr>
          <w:bCs/>
          <w:color w:val="auto"/>
        </w:rPr>
        <w:t>512</w:t>
      </w:r>
      <w:r w:rsidR="000E6630">
        <w:rPr>
          <w:bCs/>
          <w:color w:val="auto"/>
        </w:rPr>
        <w:t xml:space="preserve"> </w:t>
      </w:r>
      <w:r w:rsidR="000E6630" w:rsidRPr="000E6630">
        <w:rPr>
          <w:bCs/>
          <w:color w:val="auto"/>
        </w:rPr>
        <w:t>873</w:t>
      </w:r>
      <w:r w:rsidRPr="000E6630">
        <w:rPr>
          <w:bCs/>
          <w:color w:val="auto"/>
        </w:rPr>
        <w:t xml:space="preserve"> EUR un aizņēmumiem </w:t>
      </w:r>
      <w:r w:rsidR="005D65DE">
        <w:rPr>
          <w:bCs/>
          <w:color w:val="auto"/>
        </w:rPr>
        <w:t>525 685</w:t>
      </w:r>
      <w:r w:rsidRPr="000E6630">
        <w:rPr>
          <w:bCs/>
          <w:color w:val="auto"/>
        </w:rPr>
        <w:t xml:space="preserve"> EUR. 201</w:t>
      </w:r>
      <w:r w:rsidR="000E6630" w:rsidRPr="000E6630">
        <w:rPr>
          <w:bCs/>
          <w:color w:val="auto"/>
        </w:rPr>
        <w:t>8</w:t>
      </w:r>
      <w:r w:rsidRPr="000E6630">
        <w:rPr>
          <w:bCs/>
          <w:color w:val="auto"/>
        </w:rPr>
        <w:t xml:space="preserve">.gadā par iepriekšējos gados saņemtajiem aizņēmumiem jāatmaksā </w:t>
      </w:r>
      <w:r w:rsidR="000E6630" w:rsidRPr="000E6630">
        <w:rPr>
          <w:bCs/>
          <w:color w:val="auto"/>
        </w:rPr>
        <w:t>325 112</w:t>
      </w:r>
      <w:r w:rsidRPr="000E6630">
        <w:rPr>
          <w:bCs/>
          <w:color w:val="auto"/>
        </w:rPr>
        <w:t xml:space="preserve"> EUR, bet dažādu projektu realizēšanai plānots ņemt aizņēmumus </w:t>
      </w:r>
      <w:r w:rsidR="000E6630" w:rsidRPr="000E6630">
        <w:rPr>
          <w:bCs/>
          <w:color w:val="auto"/>
        </w:rPr>
        <w:t>850 797</w:t>
      </w:r>
      <w:r w:rsidRPr="000E6630">
        <w:rPr>
          <w:bCs/>
          <w:color w:val="auto"/>
        </w:rPr>
        <w:t xml:space="preserve"> EUR apjomā.</w:t>
      </w:r>
    </w:p>
    <w:p w:rsidR="00E431C5" w:rsidRDefault="00E431C5" w:rsidP="001803A8">
      <w:pPr>
        <w:pStyle w:val="Default"/>
        <w:spacing w:line="276" w:lineRule="auto"/>
        <w:ind w:firstLine="720"/>
        <w:jc w:val="both"/>
        <w:rPr>
          <w:bCs/>
          <w:color w:val="auto"/>
        </w:rPr>
      </w:pPr>
      <w:r w:rsidRPr="000E6630">
        <w:rPr>
          <w:bCs/>
          <w:color w:val="auto"/>
        </w:rPr>
        <w:t>Priekules novada pašvaldības saistību apmērs līdz 202</w:t>
      </w:r>
      <w:r w:rsidR="00EC2EC2" w:rsidRPr="000E6630">
        <w:rPr>
          <w:bCs/>
          <w:color w:val="auto"/>
        </w:rPr>
        <w:t>4</w:t>
      </w:r>
      <w:r w:rsidRPr="000E6630">
        <w:rPr>
          <w:bCs/>
          <w:color w:val="auto"/>
        </w:rPr>
        <w:t>.gadam atspoguļots Saistošo noteikumu 5.pielikumā. Saistību apmēra aprēķinā ietverti 201</w:t>
      </w:r>
      <w:r w:rsidR="00EC2EC2" w:rsidRPr="000E6630">
        <w:rPr>
          <w:bCs/>
          <w:color w:val="auto"/>
        </w:rPr>
        <w:t>8</w:t>
      </w:r>
      <w:r w:rsidRPr="000E6630">
        <w:rPr>
          <w:bCs/>
          <w:color w:val="auto"/>
        </w:rPr>
        <w:t>.gadā plānotie kredīti. Saistību apmērs 201</w:t>
      </w:r>
      <w:r w:rsidR="00EC2EC2" w:rsidRPr="000E6630">
        <w:rPr>
          <w:bCs/>
          <w:color w:val="auto"/>
        </w:rPr>
        <w:t>8</w:t>
      </w:r>
      <w:r w:rsidRPr="000E6630">
        <w:rPr>
          <w:bCs/>
          <w:color w:val="auto"/>
        </w:rPr>
        <w:t xml:space="preserve">.gadā sastāda </w:t>
      </w:r>
      <w:r w:rsidR="00EC2EC2" w:rsidRPr="000E6630">
        <w:rPr>
          <w:bCs/>
          <w:color w:val="auto"/>
        </w:rPr>
        <w:t>5,61</w:t>
      </w:r>
      <w:r w:rsidRPr="000E6630">
        <w:rPr>
          <w:bCs/>
          <w:color w:val="auto"/>
        </w:rPr>
        <w:t>% no pamatbudžeta ieņēmumiem bez MD noteiktiem mērķiem.</w:t>
      </w:r>
    </w:p>
    <w:p w:rsidR="00E431C5" w:rsidRDefault="00E431C5" w:rsidP="00890746">
      <w:pPr>
        <w:rPr>
          <w:bCs/>
        </w:rPr>
      </w:pPr>
    </w:p>
    <w:p w:rsidR="00890746" w:rsidRDefault="00890746" w:rsidP="00890746">
      <w:pPr>
        <w:rPr>
          <w:bCs/>
        </w:rPr>
      </w:pPr>
    </w:p>
    <w:p w:rsidR="00890746" w:rsidRDefault="00890746" w:rsidP="00890746">
      <w:pPr>
        <w:rPr>
          <w:bCs/>
        </w:rPr>
      </w:pPr>
    </w:p>
    <w:p w:rsidR="00890746" w:rsidRPr="00890746" w:rsidRDefault="00890746" w:rsidP="00890746">
      <w:pPr>
        <w:rPr>
          <w:rFonts w:ascii="Times New Roman" w:hAnsi="Times New Roman" w:cs="Times New Roman"/>
          <w:bCs/>
          <w:sz w:val="24"/>
          <w:szCs w:val="24"/>
        </w:rPr>
      </w:pPr>
    </w:p>
    <w:p w:rsidR="00E431C5" w:rsidRPr="000E6630" w:rsidRDefault="00E431C5" w:rsidP="00E431C5">
      <w:pPr>
        <w:pStyle w:val="Default"/>
        <w:spacing w:line="276" w:lineRule="auto"/>
        <w:ind w:firstLine="720"/>
        <w:jc w:val="center"/>
        <w:rPr>
          <w:b/>
          <w:bCs/>
          <w:color w:val="auto"/>
          <w:sz w:val="28"/>
          <w:szCs w:val="28"/>
        </w:rPr>
      </w:pPr>
      <w:r w:rsidRPr="000E6630">
        <w:rPr>
          <w:b/>
          <w:bCs/>
          <w:color w:val="auto"/>
          <w:sz w:val="28"/>
          <w:szCs w:val="28"/>
        </w:rPr>
        <w:t>Priekules novada pašvaldības aizņēmumi 201</w:t>
      </w:r>
      <w:r w:rsidR="000E6630" w:rsidRPr="000E6630">
        <w:rPr>
          <w:b/>
          <w:bCs/>
          <w:color w:val="auto"/>
          <w:sz w:val="28"/>
          <w:szCs w:val="28"/>
        </w:rPr>
        <w:t>8</w:t>
      </w:r>
      <w:r w:rsidR="00BB51F5">
        <w:rPr>
          <w:b/>
          <w:bCs/>
          <w:color w:val="auto"/>
          <w:sz w:val="28"/>
          <w:szCs w:val="28"/>
        </w:rPr>
        <w:t>.gada budžetā</w:t>
      </w:r>
    </w:p>
    <w:p w:rsidR="00E431C5" w:rsidRPr="000E6630" w:rsidRDefault="00E431C5" w:rsidP="001803A8">
      <w:pPr>
        <w:pStyle w:val="Default"/>
        <w:spacing w:line="276" w:lineRule="auto"/>
        <w:ind w:firstLine="720"/>
        <w:jc w:val="both"/>
        <w:rPr>
          <w:bCs/>
          <w:color w:val="auto"/>
          <w:sz w:val="28"/>
          <w:szCs w:val="28"/>
        </w:rPr>
      </w:pPr>
    </w:p>
    <w:p w:rsidR="00EC2EC2" w:rsidRDefault="00EC2EC2" w:rsidP="001803A8">
      <w:pPr>
        <w:pStyle w:val="Default"/>
        <w:spacing w:line="276" w:lineRule="auto"/>
        <w:ind w:firstLine="720"/>
        <w:jc w:val="both"/>
        <w:rPr>
          <w:bCs/>
          <w:color w:val="auto"/>
        </w:rPr>
      </w:pPr>
    </w:p>
    <w:tbl>
      <w:tblPr>
        <w:tblW w:w="9087" w:type="dxa"/>
        <w:tblInd w:w="93" w:type="dxa"/>
        <w:tblLook w:val="04A0" w:firstRow="1" w:lastRow="0" w:firstColumn="1" w:lastColumn="0" w:noHBand="0" w:noVBand="1"/>
      </w:tblPr>
      <w:tblGrid>
        <w:gridCol w:w="4410"/>
        <w:gridCol w:w="1559"/>
        <w:gridCol w:w="3118"/>
      </w:tblGrid>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Rādītāju nosaukumi</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Apstiprināts 2018. gadam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Aizņēmuma mērķis</w:t>
            </w:r>
          </w:p>
        </w:tc>
      </w:tr>
      <w:tr w:rsidR="00EC2EC2" w:rsidRPr="00EC2EC2" w:rsidTr="00EC2EC2">
        <w:trPr>
          <w:trHeight w:val="510"/>
        </w:trPr>
        <w:tc>
          <w:tcPr>
            <w:tcW w:w="44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EUR</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
                <w:bCs/>
                <w:color w:val="000000"/>
                <w:sz w:val="24"/>
                <w:szCs w:val="24"/>
                <w:lang w:eastAsia="lv-LV"/>
              </w:rPr>
            </w:pPr>
          </w:p>
        </w:tc>
      </w:tr>
      <w:tr w:rsidR="00EC2EC2" w:rsidRPr="00EC2EC2" w:rsidTr="000E6630">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C2D69B" w:themeFill="accent3" w:themeFillTint="99"/>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Saņemto ilgtermiņa aizņēmumu atmaksa</w:t>
            </w:r>
          </w:p>
        </w:tc>
        <w:tc>
          <w:tcPr>
            <w:tcW w:w="1559" w:type="dxa"/>
            <w:tcBorders>
              <w:top w:val="single" w:sz="4" w:space="0" w:color="auto"/>
              <w:left w:val="nil"/>
              <w:bottom w:val="single" w:sz="4" w:space="0" w:color="auto"/>
              <w:right w:val="nil"/>
            </w:tcBorders>
            <w:shd w:val="clear" w:color="auto" w:fill="C2D69B" w:themeFill="accent3" w:themeFillTint="99"/>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325112</w:t>
            </w:r>
          </w:p>
        </w:tc>
        <w:tc>
          <w:tcPr>
            <w:tcW w:w="3118"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EC2EC2" w:rsidRPr="00EC2EC2" w:rsidRDefault="00EC2EC2" w:rsidP="00EC2EC2">
            <w:pPr>
              <w:spacing w:after="0" w:line="240" w:lineRule="auto"/>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 </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Plānotie aizņēmumi</w:t>
            </w:r>
          </w:p>
        </w:tc>
        <w:tc>
          <w:tcPr>
            <w:tcW w:w="1559" w:type="dxa"/>
            <w:tcBorders>
              <w:top w:val="single" w:sz="4" w:space="0" w:color="auto"/>
              <w:left w:val="nil"/>
              <w:bottom w:val="single" w:sz="4" w:space="0" w:color="auto"/>
              <w:right w:val="nil"/>
            </w:tcBorders>
            <w:shd w:val="clear" w:color="auto" w:fill="EAF1DD" w:themeFill="accent3" w:themeFillTint="33"/>
            <w:vAlign w:val="center"/>
            <w:hideMark/>
          </w:tcPr>
          <w:p w:rsidR="00EC2EC2" w:rsidRPr="00EC2EC2" w:rsidRDefault="00EC2EC2" w:rsidP="00EC2EC2">
            <w:pPr>
              <w:spacing w:after="0" w:line="240" w:lineRule="auto"/>
              <w:jc w:val="center"/>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850797</w:t>
            </w:r>
          </w:p>
        </w:tc>
        <w:tc>
          <w:tcPr>
            <w:tcW w:w="31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EC2EC2" w:rsidRPr="00EC2EC2" w:rsidRDefault="00EC2EC2" w:rsidP="00EC2EC2">
            <w:pPr>
              <w:spacing w:after="0" w:line="240" w:lineRule="auto"/>
              <w:rPr>
                <w:rFonts w:ascii="Times New Roman" w:eastAsia="Times New Roman" w:hAnsi="Times New Roman" w:cs="Times New Roman"/>
                <w:b/>
                <w:bCs/>
                <w:color w:val="000000"/>
                <w:sz w:val="24"/>
                <w:szCs w:val="24"/>
                <w:lang w:eastAsia="lv-LV"/>
              </w:rPr>
            </w:pPr>
            <w:r w:rsidRPr="00EC2EC2">
              <w:rPr>
                <w:rFonts w:ascii="Times New Roman" w:eastAsia="Times New Roman" w:hAnsi="Times New Roman" w:cs="Times New Roman"/>
                <w:b/>
                <w:bCs/>
                <w:color w:val="000000"/>
                <w:sz w:val="24"/>
                <w:szCs w:val="24"/>
                <w:lang w:eastAsia="lv-LV"/>
              </w:rPr>
              <w:t> </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04.5101 LAD ceļu projekts</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177778</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LAD ceļu projekts</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04.7401-4 Videokameru projekts LAT-LIT</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44770</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Videokameru projekts LAT-LIT</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06.3002 Bunkas pagasta ūdenssaimniecība</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150000</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Kanalizācijas projekta TP un būvniecība Bunkas pagasta Krotes ciemā</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06.4005 Priekules ielu apgaismojums</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24000</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Priekules pilsētas Aizputes ielas apgaismojums</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06.6004-1 Kalētu pagasta komunālā saimniecība - projekts Kalētu stadions LAT-LIT</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195881</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Projekts Kalētu stadions LAT-LIT</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06.6005 Priekules komunālā saimniecība</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126000</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Aizputes ielas 5, 8 teritorijas labiekārtošana Priekulē</w:t>
            </w:r>
          </w:p>
        </w:tc>
      </w:tr>
      <w:tr w:rsidR="00EC2EC2" w:rsidRPr="00EC2EC2" w:rsidTr="00EC2EC2">
        <w:trPr>
          <w:trHeight w:val="510"/>
        </w:trPr>
        <w:tc>
          <w:tcPr>
            <w:tcW w:w="4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09.2101 Priekules vidusskola PF</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62329</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Priekules vidusskolas balkona trepju remonts</w:t>
            </w:r>
          </w:p>
        </w:tc>
      </w:tr>
      <w:tr w:rsidR="00EC2EC2" w:rsidRPr="00EC2EC2" w:rsidTr="00EC2EC2">
        <w:trPr>
          <w:trHeight w:val="510"/>
        </w:trPr>
        <w:tc>
          <w:tcPr>
            <w:tcW w:w="44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 xml:space="preserve">  09.2106 Virgas pamatskola PF</w:t>
            </w:r>
          </w:p>
        </w:tc>
        <w:tc>
          <w:tcPr>
            <w:tcW w:w="1559" w:type="dxa"/>
            <w:tcBorders>
              <w:top w:val="single" w:sz="4" w:space="0" w:color="auto"/>
              <w:left w:val="nil"/>
              <w:bottom w:val="single" w:sz="4" w:space="0" w:color="auto"/>
              <w:right w:val="nil"/>
            </w:tcBorders>
            <w:shd w:val="clear" w:color="auto" w:fill="auto"/>
            <w:vAlign w:val="center"/>
            <w:hideMark/>
          </w:tcPr>
          <w:p w:rsidR="00EC2EC2" w:rsidRPr="00EC2EC2" w:rsidRDefault="00EC2EC2" w:rsidP="00EC2EC2">
            <w:pPr>
              <w:spacing w:after="0" w:line="240" w:lineRule="auto"/>
              <w:jc w:val="center"/>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70039</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EC2" w:rsidRPr="00EC2EC2" w:rsidRDefault="00EC2EC2" w:rsidP="00EC2EC2">
            <w:pPr>
              <w:spacing w:after="0" w:line="240" w:lineRule="auto"/>
              <w:rPr>
                <w:rFonts w:ascii="Times New Roman" w:eastAsia="Times New Roman" w:hAnsi="Times New Roman" w:cs="Times New Roman"/>
                <w:bCs/>
                <w:color w:val="000000"/>
                <w:sz w:val="24"/>
                <w:szCs w:val="24"/>
                <w:lang w:eastAsia="lv-LV"/>
              </w:rPr>
            </w:pPr>
            <w:r w:rsidRPr="00EC2EC2">
              <w:rPr>
                <w:rFonts w:ascii="Times New Roman" w:eastAsia="Times New Roman" w:hAnsi="Times New Roman" w:cs="Times New Roman"/>
                <w:bCs/>
                <w:color w:val="000000"/>
                <w:sz w:val="24"/>
                <w:szCs w:val="24"/>
                <w:lang w:eastAsia="lv-LV"/>
              </w:rPr>
              <w:t>Virgas pamatskolas jumta austrumu un rietumu daļas, skolas austrumu daļas nostiprināšana</w:t>
            </w:r>
          </w:p>
        </w:tc>
      </w:tr>
    </w:tbl>
    <w:p w:rsidR="000E6630" w:rsidRDefault="00890746">
      <w:pPr>
        <w:rPr>
          <w:rFonts w:ascii="Times New Roman" w:hAnsi="Times New Roman" w:cs="Times New Roman"/>
          <w:b/>
        </w:rPr>
      </w:pPr>
      <w:r>
        <w:rPr>
          <w:rFonts w:ascii="Times New Roman" w:hAnsi="Times New Roman" w:cs="Times New Roman"/>
          <w:b/>
        </w:rPr>
        <w:br w:type="page"/>
      </w:r>
    </w:p>
    <w:p w:rsidR="00EB479E" w:rsidRPr="000E6630" w:rsidRDefault="00890746" w:rsidP="000E6630">
      <w:pPr>
        <w:jc w:val="center"/>
        <w:rPr>
          <w:rFonts w:ascii="Times New Roman" w:hAnsi="Times New Roman" w:cs="Times New Roman"/>
          <w:b/>
          <w:sz w:val="28"/>
          <w:szCs w:val="24"/>
        </w:rPr>
      </w:pPr>
      <w:r w:rsidRPr="000E6630">
        <w:rPr>
          <w:rFonts w:ascii="Times New Roman" w:hAnsi="Times New Roman" w:cs="Times New Roman"/>
          <w:b/>
          <w:sz w:val="28"/>
          <w:szCs w:val="24"/>
        </w:rPr>
        <w:lastRenderedPageBreak/>
        <w:t>Speciālais budžets</w:t>
      </w:r>
    </w:p>
    <w:p w:rsidR="00EB479E" w:rsidRDefault="00EB479E" w:rsidP="00EB479E">
      <w:pPr>
        <w:pStyle w:val="Default"/>
        <w:spacing w:line="276" w:lineRule="auto"/>
        <w:ind w:firstLine="720"/>
        <w:jc w:val="both"/>
        <w:rPr>
          <w:color w:val="auto"/>
        </w:rPr>
      </w:pPr>
      <w:r>
        <w:rPr>
          <w:color w:val="auto"/>
        </w:rPr>
        <w:t>Priekules novada speciālā budžeta ieņēmumus veido ieņēmumi no dabas resursu nodokļa un mērķdotācija pašvaldības autoceļu ( ielu) uzturēšanai. 201</w:t>
      </w:r>
      <w:r w:rsidR="005F3548">
        <w:rPr>
          <w:color w:val="auto"/>
        </w:rPr>
        <w:t>8</w:t>
      </w:r>
      <w:r>
        <w:rPr>
          <w:color w:val="auto"/>
        </w:rPr>
        <w:t xml:space="preserve">.gada budžetā dabas resursu nodoklis plānots saņemt </w:t>
      </w:r>
      <w:r w:rsidR="005F3548">
        <w:rPr>
          <w:color w:val="auto"/>
        </w:rPr>
        <w:t>45 000</w:t>
      </w:r>
      <w:r>
        <w:rPr>
          <w:color w:val="auto"/>
        </w:rPr>
        <w:t xml:space="preserve"> EUR, MD autoceļiem 2</w:t>
      </w:r>
      <w:r w:rsidR="005F3548">
        <w:rPr>
          <w:color w:val="auto"/>
        </w:rPr>
        <w:t>53 616</w:t>
      </w:r>
      <w:r>
        <w:rPr>
          <w:color w:val="auto"/>
        </w:rPr>
        <w:t xml:space="preserve"> EUR, kas ir </w:t>
      </w:r>
      <w:r w:rsidR="005F3548">
        <w:rPr>
          <w:color w:val="auto"/>
        </w:rPr>
        <w:t xml:space="preserve">par </w:t>
      </w:r>
      <w:r w:rsidR="006C1251">
        <w:rPr>
          <w:color w:val="auto"/>
        </w:rPr>
        <w:t>7162 EUR vairāk nekā 2017. gadā</w:t>
      </w:r>
      <w:r>
        <w:rPr>
          <w:color w:val="auto"/>
        </w:rPr>
        <w:t>. MD ieņēmumi pēc pašvaldības apstiprinātas kārtības tiek sadalīti pagastu un pilsētas autoceļu uzturēšanai. Dabas resursu ieņēmumi netiek dalīti, tos novirza šiem mērķiem paredzētiem izdevumiem.</w:t>
      </w:r>
    </w:p>
    <w:p w:rsidR="00EB479E" w:rsidRDefault="00EB479E" w:rsidP="00EB479E">
      <w:pPr>
        <w:pStyle w:val="Default"/>
        <w:spacing w:line="276" w:lineRule="auto"/>
        <w:ind w:firstLine="720"/>
        <w:jc w:val="both"/>
        <w:rPr>
          <w:color w:val="auto"/>
        </w:rPr>
      </w:pPr>
      <w:r>
        <w:rPr>
          <w:color w:val="auto"/>
        </w:rPr>
        <w:t>Mērķdotācijas sadalījums ir saistošo noteikumu 6.pielikums.</w:t>
      </w:r>
    </w:p>
    <w:p w:rsidR="00EB479E" w:rsidRDefault="00EB479E" w:rsidP="00EB479E">
      <w:pPr>
        <w:pStyle w:val="Default"/>
        <w:spacing w:line="276" w:lineRule="auto"/>
        <w:ind w:firstLine="720"/>
        <w:jc w:val="both"/>
        <w:rPr>
          <w:color w:val="auto"/>
        </w:rPr>
      </w:pPr>
    </w:p>
    <w:tbl>
      <w:tblPr>
        <w:tblW w:w="8680" w:type="dxa"/>
        <w:tblLook w:val="04A0" w:firstRow="1" w:lastRow="0" w:firstColumn="1" w:lastColumn="0" w:noHBand="0" w:noVBand="1"/>
      </w:tblPr>
      <w:tblGrid>
        <w:gridCol w:w="2560"/>
        <w:gridCol w:w="1561"/>
        <w:gridCol w:w="1520"/>
        <w:gridCol w:w="1585"/>
        <w:gridCol w:w="1500"/>
      </w:tblGrid>
      <w:tr w:rsidR="00D3262C" w:rsidRPr="00D3262C" w:rsidTr="00D3262C">
        <w:trPr>
          <w:trHeight w:val="312"/>
        </w:trPr>
        <w:tc>
          <w:tcPr>
            <w:tcW w:w="8680" w:type="dxa"/>
            <w:gridSpan w:val="5"/>
            <w:tcBorders>
              <w:top w:val="nil"/>
              <w:left w:val="nil"/>
              <w:bottom w:val="nil"/>
              <w:right w:val="nil"/>
            </w:tcBorders>
            <w:shd w:val="clear" w:color="auto" w:fill="auto"/>
            <w:noWrap/>
            <w:vAlign w:val="center"/>
            <w:hideMark/>
          </w:tcPr>
          <w:p w:rsidR="00D3262C" w:rsidRPr="00D3262C" w:rsidRDefault="00D3262C" w:rsidP="00D3262C">
            <w:pPr>
              <w:spacing w:after="0" w:line="240" w:lineRule="auto"/>
              <w:jc w:val="center"/>
              <w:rPr>
                <w:rFonts w:ascii="Times New Roman" w:eastAsia="Times New Roman" w:hAnsi="Times New Roman" w:cs="Times New Roman"/>
                <w:b/>
                <w:bCs/>
                <w:color w:val="000000"/>
                <w:sz w:val="24"/>
                <w:szCs w:val="24"/>
                <w:lang w:eastAsia="lv-LV"/>
              </w:rPr>
            </w:pPr>
            <w:r w:rsidRPr="00D3262C">
              <w:rPr>
                <w:rFonts w:ascii="Times New Roman" w:eastAsia="Times New Roman" w:hAnsi="Times New Roman" w:cs="Times New Roman"/>
                <w:b/>
                <w:bCs/>
                <w:color w:val="000000"/>
                <w:sz w:val="24"/>
                <w:szCs w:val="24"/>
                <w:lang w:eastAsia="lv-LV"/>
              </w:rPr>
              <w:t xml:space="preserve">Mērķdotācija pašvaldības autoceļu (ielu) uzturēšanai 2018.gadā </w:t>
            </w:r>
          </w:p>
        </w:tc>
      </w:tr>
      <w:tr w:rsidR="00D3262C" w:rsidRPr="00D3262C" w:rsidTr="00D3262C">
        <w:trPr>
          <w:trHeight w:val="288"/>
        </w:trPr>
        <w:tc>
          <w:tcPr>
            <w:tcW w:w="2560" w:type="dxa"/>
            <w:tcBorders>
              <w:top w:val="nil"/>
              <w:left w:val="nil"/>
              <w:bottom w:val="nil"/>
              <w:right w:val="nil"/>
            </w:tcBorders>
            <w:shd w:val="clear" w:color="auto" w:fill="auto"/>
            <w:noWrap/>
            <w:vAlign w:val="bottom"/>
            <w:hideMark/>
          </w:tcPr>
          <w:p w:rsidR="00D3262C" w:rsidRPr="00D3262C" w:rsidRDefault="00D3262C" w:rsidP="00D3262C">
            <w:pPr>
              <w:spacing w:after="0" w:line="240" w:lineRule="auto"/>
              <w:jc w:val="center"/>
              <w:rPr>
                <w:rFonts w:ascii="Times New Roman" w:eastAsia="Times New Roman" w:hAnsi="Times New Roman" w:cs="Times New Roman"/>
                <w:b/>
                <w:bCs/>
                <w:color w:val="000000"/>
                <w:sz w:val="24"/>
                <w:szCs w:val="24"/>
                <w:lang w:eastAsia="lv-LV"/>
              </w:rPr>
            </w:pPr>
          </w:p>
        </w:tc>
        <w:tc>
          <w:tcPr>
            <w:tcW w:w="1520" w:type="dxa"/>
            <w:tcBorders>
              <w:top w:val="nil"/>
              <w:left w:val="nil"/>
              <w:bottom w:val="nil"/>
              <w:right w:val="nil"/>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sz w:val="20"/>
                <w:szCs w:val="20"/>
                <w:lang w:eastAsia="lv-LV"/>
              </w:rPr>
            </w:pPr>
          </w:p>
        </w:tc>
        <w:tc>
          <w:tcPr>
            <w:tcW w:w="1520" w:type="dxa"/>
            <w:tcBorders>
              <w:top w:val="nil"/>
              <w:left w:val="nil"/>
              <w:bottom w:val="nil"/>
              <w:right w:val="nil"/>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sz w:val="20"/>
                <w:szCs w:val="20"/>
                <w:lang w:eastAsia="lv-LV"/>
              </w:rPr>
            </w:pPr>
          </w:p>
        </w:tc>
        <w:tc>
          <w:tcPr>
            <w:tcW w:w="1580" w:type="dxa"/>
            <w:tcBorders>
              <w:top w:val="nil"/>
              <w:left w:val="nil"/>
              <w:bottom w:val="nil"/>
              <w:right w:val="nil"/>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sz w:val="20"/>
                <w:szCs w:val="20"/>
                <w:lang w:eastAsia="lv-LV"/>
              </w:rPr>
            </w:pPr>
          </w:p>
        </w:tc>
        <w:tc>
          <w:tcPr>
            <w:tcW w:w="1500" w:type="dxa"/>
            <w:tcBorders>
              <w:top w:val="nil"/>
              <w:left w:val="nil"/>
              <w:bottom w:val="nil"/>
              <w:right w:val="nil"/>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sz w:val="20"/>
                <w:szCs w:val="20"/>
                <w:lang w:eastAsia="lv-LV"/>
              </w:rPr>
            </w:pPr>
          </w:p>
        </w:tc>
      </w:tr>
      <w:tr w:rsidR="00D3262C" w:rsidRPr="00D3262C" w:rsidTr="005D65DE">
        <w:trPr>
          <w:trHeight w:val="1116"/>
        </w:trPr>
        <w:tc>
          <w:tcPr>
            <w:tcW w:w="256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D3262C" w:rsidRPr="00D3262C" w:rsidRDefault="00D3262C" w:rsidP="00D3262C">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 xml:space="preserve">Administratīvā </w:t>
            </w:r>
            <w:proofErr w:type="spellStart"/>
            <w:r w:rsidRPr="00D3262C">
              <w:rPr>
                <w:rFonts w:ascii="Times New Roman" w:eastAsia="Times New Roman" w:hAnsi="Times New Roman" w:cs="Times New Roman"/>
                <w:b/>
                <w:bCs/>
                <w:color w:val="000000"/>
                <w:lang w:eastAsia="lv-LV"/>
              </w:rPr>
              <w:t>teroitorija</w:t>
            </w:r>
            <w:proofErr w:type="spellEnd"/>
          </w:p>
        </w:tc>
        <w:tc>
          <w:tcPr>
            <w:tcW w:w="1520"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D3262C" w:rsidRPr="00D3262C" w:rsidRDefault="00D3262C" w:rsidP="00D3262C">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 xml:space="preserve">2018.gada mērķdotācijas </w:t>
            </w:r>
            <w:proofErr w:type="spellStart"/>
            <w:r w:rsidRPr="00D3262C">
              <w:rPr>
                <w:rFonts w:ascii="Times New Roman" w:eastAsia="Times New Roman" w:hAnsi="Times New Roman" w:cs="Times New Roman"/>
                <w:b/>
                <w:bCs/>
                <w:color w:val="000000"/>
                <w:lang w:eastAsia="lv-LV"/>
              </w:rPr>
              <w:t>sadlījums</w:t>
            </w:r>
            <w:proofErr w:type="spellEnd"/>
            <w:r w:rsidRPr="00D3262C">
              <w:rPr>
                <w:rFonts w:ascii="Times New Roman" w:eastAsia="Times New Roman" w:hAnsi="Times New Roman" w:cs="Times New Roman"/>
                <w:b/>
                <w:bCs/>
                <w:color w:val="000000"/>
                <w:lang w:eastAsia="lv-LV"/>
              </w:rPr>
              <w:t xml:space="preserve"> EUR</w:t>
            </w:r>
          </w:p>
        </w:tc>
        <w:tc>
          <w:tcPr>
            <w:tcW w:w="1520"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D3262C" w:rsidRPr="00D3262C" w:rsidRDefault="00D3262C" w:rsidP="00D3262C">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Mēnesī</w:t>
            </w:r>
          </w:p>
        </w:tc>
        <w:tc>
          <w:tcPr>
            <w:tcW w:w="1580"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D3262C" w:rsidRPr="00D3262C" w:rsidRDefault="00D3262C" w:rsidP="00D3262C">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Mērķdotācijas atlikums uz 31.12.2017.</w:t>
            </w:r>
          </w:p>
        </w:tc>
        <w:tc>
          <w:tcPr>
            <w:tcW w:w="1500" w:type="dxa"/>
            <w:tcBorders>
              <w:top w:val="single" w:sz="4" w:space="0" w:color="auto"/>
              <w:left w:val="nil"/>
              <w:bottom w:val="single" w:sz="4" w:space="0" w:color="auto"/>
              <w:right w:val="single" w:sz="4" w:space="0" w:color="auto"/>
            </w:tcBorders>
            <w:shd w:val="clear" w:color="auto" w:fill="D6E3BC" w:themeFill="accent3" w:themeFillTint="66"/>
            <w:vAlign w:val="bottom"/>
            <w:hideMark/>
          </w:tcPr>
          <w:p w:rsidR="00D3262C" w:rsidRPr="00D3262C" w:rsidRDefault="00D3262C" w:rsidP="00D3262C">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Mērķdotācija kopā 2018.gadam EUR</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lang w:eastAsia="lv-LV"/>
              </w:rPr>
            </w:pPr>
            <w:r w:rsidRPr="00D3262C">
              <w:rPr>
                <w:rFonts w:ascii="Times New Roman" w:eastAsia="Times New Roman" w:hAnsi="Times New Roman" w:cs="Times New Roman"/>
                <w:lang w:eastAsia="lv-LV"/>
              </w:rPr>
              <w:t>Priekules pilsēta</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72884</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6074</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-1466</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71418</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lang w:eastAsia="lv-LV"/>
              </w:rPr>
            </w:pPr>
            <w:r w:rsidRPr="00D3262C">
              <w:rPr>
                <w:rFonts w:ascii="Times New Roman" w:eastAsia="Times New Roman" w:hAnsi="Times New Roman" w:cs="Times New Roman"/>
                <w:lang w:eastAsia="lv-LV"/>
              </w:rPr>
              <w:t>Bunkas pagasts</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41071</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3423</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-1598</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39473</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lang w:eastAsia="lv-LV"/>
              </w:rPr>
            </w:pPr>
            <w:r w:rsidRPr="00D3262C">
              <w:rPr>
                <w:rFonts w:ascii="Times New Roman" w:eastAsia="Times New Roman" w:hAnsi="Times New Roman" w:cs="Times New Roman"/>
                <w:lang w:eastAsia="lv-LV"/>
              </w:rPr>
              <w:t>Gramzdas pagasts</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34512</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2876</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6936</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41448</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lang w:eastAsia="lv-LV"/>
              </w:rPr>
            </w:pPr>
            <w:r w:rsidRPr="00D3262C">
              <w:rPr>
                <w:rFonts w:ascii="Times New Roman" w:eastAsia="Times New Roman" w:hAnsi="Times New Roman" w:cs="Times New Roman"/>
                <w:lang w:eastAsia="lv-LV"/>
              </w:rPr>
              <w:t>Kalētu pagasts</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23414</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1951</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28714</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52128</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D3262C" w:rsidRPr="00D3262C" w:rsidRDefault="00D3262C" w:rsidP="00D3262C">
            <w:pPr>
              <w:spacing w:after="0" w:line="240" w:lineRule="auto"/>
              <w:rPr>
                <w:rFonts w:ascii="Times New Roman" w:eastAsia="Times New Roman" w:hAnsi="Times New Roman" w:cs="Times New Roman"/>
                <w:lang w:eastAsia="lv-LV"/>
              </w:rPr>
            </w:pPr>
            <w:r w:rsidRPr="00D3262C">
              <w:rPr>
                <w:rFonts w:ascii="Times New Roman" w:eastAsia="Times New Roman" w:hAnsi="Times New Roman" w:cs="Times New Roman"/>
                <w:lang w:eastAsia="lv-LV"/>
              </w:rPr>
              <w:t>Priekules pagasts</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45679</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3807</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16965</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62644</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lang w:eastAsia="lv-LV"/>
              </w:rPr>
            </w:pPr>
            <w:r w:rsidRPr="00D3262C">
              <w:rPr>
                <w:rFonts w:ascii="Times New Roman" w:eastAsia="Times New Roman" w:hAnsi="Times New Roman" w:cs="Times New Roman"/>
                <w:lang w:eastAsia="lv-LV"/>
              </w:rPr>
              <w:t>Virgas pagasts</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36056</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3005</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8192</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color w:val="000000"/>
                <w:lang w:eastAsia="lv-LV"/>
              </w:rPr>
            </w:pPr>
            <w:r w:rsidRPr="00D3262C">
              <w:rPr>
                <w:rFonts w:ascii="Times New Roman" w:eastAsia="Times New Roman" w:hAnsi="Times New Roman" w:cs="Times New Roman"/>
                <w:color w:val="000000"/>
                <w:lang w:eastAsia="lv-LV"/>
              </w:rPr>
              <w:t>44248</w:t>
            </w:r>
          </w:p>
        </w:tc>
      </w:tr>
      <w:tr w:rsidR="00D3262C" w:rsidRPr="00D3262C" w:rsidTr="00D3262C">
        <w:trPr>
          <w:trHeight w:val="288"/>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3262C" w:rsidRPr="00D3262C" w:rsidRDefault="00D3262C" w:rsidP="00D3262C">
            <w:pPr>
              <w:spacing w:after="0" w:line="240" w:lineRule="auto"/>
              <w:rPr>
                <w:rFonts w:ascii="Times New Roman" w:eastAsia="Times New Roman" w:hAnsi="Times New Roman" w:cs="Times New Roman"/>
                <w:b/>
                <w:bCs/>
                <w:lang w:eastAsia="lv-LV"/>
              </w:rPr>
            </w:pPr>
            <w:r w:rsidRPr="00D3262C">
              <w:rPr>
                <w:rFonts w:ascii="Times New Roman" w:eastAsia="Times New Roman" w:hAnsi="Times New Roman" w:cs="Times New Roman"/>
                <w:b/>
                <w:bCs/>
                <w:lang w:eastAsia="lv-LV"/>
              </w:rPr>
              <w:t>KOPĀ</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253616</w:t>
            </w:r>
          </w:p>
        </w:tc>
        <w:tc>
          <w:tcPr>
            <w:tcW w:w="152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21135</w:t>
            </w:r>
          </w:p>
        </w:tc>
        <w:tc>
          <w:tcPr>
            <w:tcW w:w="158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57743</w:t>
            </w:r>
          </w:p>
        </w:tc>
        <w:tc>
          <w:tcPr>
            <w:tcW w:w="1500" w:type="dxa"/>
            <w:tcBorders>
              <w:top w:val="nil"/>
              <w:left w:val="nil"/>
              <w:bottom w:val="single" w:sz="4" w:space="0" w:color="auto"/>
              <w:right w:val="single" w:sz="4" w:space="0" w:color="auto"/>
            </w:tcBorders>
            <w:shd w:val="clear" w:color="auto" w:fill="auto"/>
            <w:noWrap/>
            <w:vAlign w:val="bottom"/>
            <w:hideMark/>
          </w:tcPr>
          <w:p w:rsidR="00D3262C" w:rsidRPr="00D3262C" w:rsidRDefault="00D3262C" w:rsidP="000E6630">
            <w:pPr>
              <w:spacing w:after="0" w:line="240" w:lineRule="auto"/>
              <w:jc w:val="center"/>
              <w:rPr>
                <w:rFonts w:ascii="Times New Roman" w:eastAsia="Times New Roman" w:hAnsi="Times New Roman" w:cs="Times New Roman"/>
                <w:b/>
                <w:bCs/>
                <w:color w:val="000000"/>
                <w:lang w:eastAsia="lv-LV"/>
              </w:rPr>
            </w:pPr>
            <w:r w:rsidRPr="00D3262C">
              <w:rPr>
                <w:rFonts w:ascii="Times New Roman" w:eastAsia="Times New Roman" w:hAnsi="Times New Roman" w:cs="Times New Roman"/>
                <w:b/>
                <w:bCs/>
                <w:color w:val="000000"/>
                <w:lang w:eastAsia="lv-LV"/>
              </w:rPr>
              <w:t>311359</w:t>
            </w:r>
          </w:p>
        </w:tc>
      </w:tr>
    </w:tbl>
    <w:p w:rsidR="00D3262C" w:rsidRDefault="00D3262C" w:rsidP="00EB479E">
      <w:pPr>
        <w:pStyle w:val="Default"/>
        <w:spacing w:line="276" w:lineRule="auto"/>
        <w:ind w:firstLine="720"/>
        <w:jc w:val="both"/>
        <w:rPr>
          <w:color w:val="auto"/>
        </w:rPr>
      </w:pPr>
    </w:p>
    <w:p w:rsidR="00EB479E" w:rsidRPr="00EB479E" w:rsidRDefault="00EB479E" w:rsidP="00EB479E">
      <w:pPr>
        <w:pStyle w:val="Default"/>
        <w:spacing w:line="276" w:lineRule="auto"/>
        <w:ind w:firstLine="720"/>
        <w:jc w:val="both"/>
      </w:pPr>
      <w:r w:rsidRPr="00EB479E">
        <w:rPr>
          <w:color w:val="auto"/>
        </w:rPr>
        <w:t xml:space="preserve">Speciālā budžeta izdevumi </w:t>
      </w:r>
      <w:r w:rsidR="00A74594">
        <w:rPr>
          <w:color w:val="auto"/>
        </w:rPr>
        <w:t xml:space="preserve">2018. gadam </w:t>
      </w:r>
      <w:r w:rsidRPr="00EB479E">
        <w:rPr>
          <w:color w:val="auto"/>
        </w:rPr>
        <w:t xml:space="preserve">no Dabas resursu nodokļa plānoti </w:t>
      </w:r>
      <w:r w:rsidR="00D3262C">
        <w:rPr>
          <w:color w:val="auto"/>
        </w:rPr>
        <w:t>182 534</w:t>
      </w:r>
      <w:r w:rsidRPr="00EB479E">
        <w:rPr>
          <w:color w:val="auto"/>
        </w:rPr>
        <w:t xml:space="preserve"> EUR. Izdevumos plānots arī 201</w:t>
      </w:r>
      <w:r w:rsidR="00D3262C">
        <w:rPr>
          <w:color w:val="auto"/>
        </w:rPr>
        <w:t>7</w:t>
      </w:r>
      <w:r w:rsidRPr="00EB479E">
        <w:rPr>
          <w:color w:val="auto"/>
        </w:rPr>
        <w:t>.gada līdzekļu atlikums. 201</w:t>
      </w:r>
      <w:r w:rsidR="00D3262C">
        <w:rPr>
          <w:color w:val="auto"/>
        </w:rPr>
        <w:t>8</w:t>
      </w:r>
      <w:r w:rsidRPr="00EB479E">
        <w:rPr>
          <w:color w:val="auto"/>
        </w:rPr>
        <w:t xml:space="preserve">.gadā </w:t>
      </w:r>
      <w:r w:rsidR="00D3262C">
        <w:rPr>
          <w:color w:val="auto"/>
        </w:rPr>
        <w:t xml:space="preserve">tiks turpināts </w:t>
      </w:r>
      <w:r w:rsidRPr="00EB479E">
        <w:rPr>
          <w:color w:val="auto"/>
        </w:rPr>
        <w:t>Dabas parka izveides projekt</w:t>
      </w:r>
      <w:r w:rsidR="00D3262C">
        <w:rPr>
          <w:color w:val="auto"/>
        </w:rPr>
        <w:t>s</w:t>
      </w:r>
      <w:r w:rsidRPr="00EB479E">
        <w:rPr>
          <w:color w:val="auto"/>
        </w:rPr>
        <w:t xml:space="preserve"> Gramzdas pagastā </w:t>
      </w:r>
      <w:r w:rsidR="00D3262C">
        <w:rPr>
          <w:color w:val="auto"/>
        </w:rPr>
        <w:t>(18 713</w:t>
      </w:r>
      <w:r w:rsidRPr="00EB479E">
        <w:rPr>
          <w:color w:val="auto"/>
        </w:rPr>
        <w:t xml:space="preserve"> EUR</w:t>
      </w:r>
      <w:r w:rsidR="00D3262C">
        <w:rPr>
          <w:color w:val="auto"/>
        </w:rPr>
        <w:t xml:space="preserve">), </w:t>
      </w:r>
      <w:r w:rsidR="00D3262C">
        <w:t>izveidots</w:t>
      </w:r>
      <w:r w:rsidR="00D3262C" w:rsidRPr="00D3262C">
        <w:t xml:space="preserve"> Informācijas centrs </w:t>
      </w:r>
      <w:r w:rsidR="00D3262C">
        <w:t xml:space="preserve">Kalētu </w:t>
      </w:r>
      <w:proofErr w:type="spellStart"/>
      <w:r w:rsidR="00D3262C" w:rsidRPr="00D3262C">
        <w:t>Priedienā</w:t>
      </w:r>
      <w:proofErr w:type="spellEnd"/>
      <w:r w:rsidR="00D3262C" w:rsidRPr="00D3262C">
        <w:t xml:space="preserve"> </w:t>
      </w:r>
      <w:r w:rsidR="00D3262C">
        <w:t>(</w:t>
      </w:r>
      <w:r w:rsidR="00D3262C" w:rsidRPr="00D3262C">
        <w:t>6</w:t>
      </w:r>
      <w:r w:rsidR="00D3262C">
        <w:t> </w:t>
      </w:r>
      <w:r w:rsidR="00D3262C" w:rsidRPr="00D3262C">
        <w:t>500</w:t>
      </w:r>
      <w:r w:rsidR="00D3262C">
        <w:t xml:space="preserve"> </w:t>
      </w:r>
      <w:r w:rsidR="00D3262C" w:rsidRPr="00D3262C">
        <w:t>EUR</w:t>
      </w:r>
      <w:r w:rsidR="00D3262C">
        <w:t>), izstrādāti</w:t>
      </w:r>
      <w:r w:rsidRPr="00EB479E">
        <w:t xml:space="preserve"> </w:t>
      </w:r>
      <w:r w:rsidR="00D3262C">
        <w:t xml:space="preserve">apsaimniekošanas plāni Krotes parkam (3000 EUR) un meža parkam “Kalētu </w:t>
      </w:r>
      <w:proofErr w:type="spellStart"/>
      <w:r w:rsidR="00D3262C">
        <w:t>Priediens</w:t>
      </w:r>
      <w:proofErr w:type="spellEnd"/>
      <w:r w:rsidR="00D3262C">
        <w:t>” (9600 EUR). Neparedzētiem gadījumiem plānotie līdzekļi 1447</w:t>
      </w:r>
      <w:r w:rsidR="00517648">
        <w:t>2</w:t>
      </w:r>
      <w:r w:rsidR="00D3262C">
        <w:t xml:space="preserve">1 EUR. </w:t>
      </w:r>
    </w:p>
    <w:p w:rsidR="00EB479E" w:rsidRDefault="00EB479E" w:rsidP="000E6630">
      <w:pPr>
        <w:ind w:firstLine="851"/>
        <w:jc w:val="both"/>
        <w:rPr>
          <w:rFonts w:ascii="Times New Roman" w:hAnsi="Times New Roman" w:cs="Times New Roman"/>
          <w:sz w:val="24"/>
          <w:szCs w:val="24"/>
        </w:rPr>
      </w:pPr>
      <w:r w:rsidRPr="00EB479E">
        <w:rPr>
          <w:rFonts w:ascii="Times New Roman" w:hAnsi="Times New Roman" w:cs="Times New Roman"/>
          <w:sz w:val="24"/>
          <w:szCs w:val="24"/>
        </w:rPr>
        <w:t xml:space="preserve">No mērķdotācijas pašvaldības autoceļu un ielu uzturēšanai plānoti </w:t>
      </w:r>
      <w:r w:rsidR="00D3262C">
        <w:rPr>
          <w:rFonts w:ascii="Times New Roman" w:hAnsi="Times New Roman" w:cs="Times New Roman"/>
          <w:sz w:val="24"/>
          <w:szCs w:val="24"/>
        </w:rPr>
        <w:t>311 359</w:t>
      </w:r>
      <w:r w:rsidRPr="00EB479E">
        <w:rPr>
          <w:rFonts w:ascii="Times New Roman" w:hAnsi="Times New Roman" w:cs="Times New Roman"/>
          <w:sz w:val="24"/>
          <w:szCs w:val="24"/>
        </w:rPr>
        <w:t xml:space="preserve"> EUR. 201</w:t>
      </w:r>
      <w:r w:rsidR="00A74594">
        <w:rPr>
          <w:rFonts w:ascii="Times New Roman" w:hAnsi="Times New Roman" w:cs="Times New Roman"/>
          <w:sz w:val="24"/>
          <w:szCs w:val="24"/>
        </w:rPr>
        <w:t>8</w:t>
      </w:r>
      <w:r w:rsidRPr="00EB479E">
        <w:rPr>
          <w:rFonts w:ascii="Times New Roman" w:hAnsi="Times New Roman" w:cs="Times New Roman"/>
          <w:sz w:val="24"/>
          <w:szCs w:val="24"/>
        </w:rPr>
        <w:t>.gada izdevumos iekļauts 201</w:t>
      </w:r>
      <w:r w:rsidR="00D3262C">
        <w:rPr>
          <w:rFonts w:ascii="Times New Roman" w:hAnsi="Times New Roman" w:cs="Times New Roman"/>
          <w:sz w:val="24"/>
          <w:szCs w:val="24"/>
        </w:rPr>
        <w:t>7</w:t>
      </w:r>
      <w:r w:rsidRPr="00EB479E">
        <w:rPr>
          <w:rFonts w:ascii="Times New Roman" w:hAnsi="Times New Roman" w:cs="Times New Roman"/>
          <w:sz w:val="24"/>
          <w:szCs w:val="24"/>
        </w:rPr>
        <w:t xml:space="preserve">.gada līdzekļu atlikums </w:t>
      </w:r>
      <w:r w:rsidR="00D3262C">
        <w:rPr>
          <w:rFonts w:ascii="Times New Roman" w:hAnsi="Times New Roman" w:cs="Times New Roman"/>
          <w:sz w:val="24"/>
          <w:szCs w:val="24"/>
        </w:rPr>
        <w:t>57 743 EUR</w:t>
      </w:r>
      <w:r w:rsidRPr="00EB479E">
        <w:rPr>
          <w:rFonts w:ascii="Times New Roman" w:hAnsi="Times New Roman" w:cs="Times New Roman"/>
          <w:sz w:val="24"/>
          <w:szCs w:val="24"/>
        </w:rPr>
        <w:t xml:space="preserve">. </w:t>
      </w:r>
      <w:r w:rsidRPr="000E6630">
        <w:rPr>
          <w:rFonts w:ascii="Times New Roman" w:hAnsi="Times New Roman" w:cs="Times New Roman"/>
          <w:sz w:val="24"/>
          <w:szCs w:val="24"/>
        </w:rPr>
        <w:t>Bez ikdienas ceļu uzturēšanas 201</w:t>
      </w:r>
      <w:r w:rsidR="00A74594" w:rsidRPr="000E6630">
        <w:rPr>
          <w:rFonts w:ascii="Times New Roman" w:hAnsi="Times New Roman" w:cs="Times New Roman"/>
          <w:sz w:val="24"/>
          <w:szCs w:val="24"/>
        </w:rPr>
        <w:t>8</w:t>
      </w:r>
      <w:r w:rsidRPr="000E6630">
        <w:rPr>
          <w:rFonts w:ascii="Times New Roman" w:hAnsi="Times New Roman" w:cs="Times New Roman"/>
          <w:sz w:val="24"/>
          <w:szCs w:val="24"/>
        </w:rPr>
        <w:t xml:space="preserve">.gadā plānots </w:t>
      </w:r>
      <w:r w:rsidR="00A74594" w:rsidRPr="000E6630">
        <w:rPr>
          <w:rFonts w:ascii="Times New Roman" w:hAnsi="Times New Roman" w:cs="Times New Roman"/>
          <w:sz w:val="24"/>
          <w:szCs w:val="24"/>
        </w:rPr>
        <w:t xml:space="preserve">izveidot </w:t>
      </w:r>
      <w:proofErr w:type="spellStart"/>
      <w:r w:rsidR="00A74594" w:rsidRPr="000E6630">
        <w:rPr>
          <w:rFonts w:ascii="Times New Roman" w:hAnsi="Times New Roman" w:cs="Times New Roman"/>
          <w:sz w:val="24"/>
          <w:szCs w:val="24"/>
        </w:rPr>
        <w:t>ātrumvalni</w:t>
      </w:r>
      <w:proofErr w:type="spellEnd"/>
      <w:r w:rsidR="00A74594" w:rsidRPr="000E6630">
        <w:rPr>
          <w:rFonts w:ascii="Times New Roman" w:hAnsi="Times New Roman" w:cs="Times New Roman"/>
          <w:sz w:val="24"/>
          <w:szCs w:val="24"/>
        </w:rPr>
        <w:t xml:space="preserve"> pie Krotes skolas</w:t>
      </w:r>
      <w:r w:rsidR="009023BA" w:rsidRPr="000E6630">
        <w:rPr>
          <w:rFonts w:ascii="Times New Roman" w:hAnsi="Times New Roman" w:cs="Times New Roman"/>
          <w:sz w:val="24"/>
          <w:szCs w:val="24"/>
        </w:rPr>
        <w:t xml:space="preserve"> (2500 EUR)</w:t>
      </w:r>
      <w:r w:rsidR="00A74594" w:rsidRPr="000E6630">
        <w:rPr>
          <w:rFonts w:ascii="Times New Roman" w:hAnsi="Times New Roman" w:cs="Times New Roman"/>
          <w:sz w:val="24"/>
          <w:szCs w:val="24"/>
        </w:rPr>
        <w:t>, papildināt ielu apgaismojumu ar 5 balstiem Bunk</w:t>
      </w:r>
      <w:r w:rsidR="009023BA" w:rsidRPr="000E6630">
        <w:rPr>
          <w:rFonts w:ascii="Times New Roman" w:hAnsi="Times New Roman" w:cs="Times New Roman"/>
          <w:sz w:val="24"/>
          <w:szCs w:val="24"/>
        </w:rPr>
        <w:t xml:space="preserve">as pagastā (3500 EUR), </w:t>
      </w:r>
      <w:r w:rsidR="00A74594" w:rsidRPr="000E6630">
        <w:rPr>
          <w:rFonts w:ascii="Times New Roman" w:hAnsi="Times New Roman" w:cs="Times New Roman"/>
          <w:sz w:val="24"/>
          <w:szCs w:val="24"/>
        </w:rPr>
        <w:t>veikt tilta margu remont</w:t>
      </w:r>
      <w:r w:rsidR="009023BA" w:rsidRPr="000E6630">
        <w:rPr>
          <w:rFonts w:ascii="Times New Roman" w:hAnsi="Times New Roman" w:cs="Times New Roman"/>
          <w:sz w:val="24"/>
          <w:szCs w:val="24"/>
        </w:rPr>
        <w:t>u</w:t>
      </w:r>
      <w:r w:rsidR="00A74594" w:rsidRPr="000E6630">
        <w:rPr>
          <w:rFonts w:ascii="Times New Roman" w:hAnsi="Times New Roman" w:cs="Times New Roman"/>
          <w:sz w:val="24"/>
          <w:szCs w:val="24"/>
        </w:rPr>
        <w:t xml:space="preserve"> Priekules pagast</w:t>
      </w:r>
      <w:r w:rsidR="009023BA" w:rsidRPr="000E6630">
        <w:rPr>
          <w:rFonts w:ascii="Times New Roman" w:hAnsi="Times New Roman" w:cs="Times New Roman"/>
          <w:sz w:val="24"/>
          <w:szCs w:val="24"/>
        </w:rPr>
        <w:t>ā (4000 EUR), izbūvēt ielu apgaismojuma 1. kārtu Virgas pagasta Paplakas ciemā (25</w:t>
      </w:r>
      <w:r w:rsidR="000E6630" w:rsidRPr="000E6630">
        <w:rPr>
          <w:rFonts w:ascii="Times New Roman" w:hAnsi="Times New Roman" w:cs="Times New Roman"/>
          <w:sz w:val="24"/>
          <w:szCs w:val="24"/>
        </w:rPr>
        <w:t>714</w:t>
      </w:r>
      <w:r w:rsidR="009023BA" w:rsidRPr="000E6630">
        <w:rPr>
          <w:rFonts w:ascii="Times New Roman" w:hAnsi="Times New Roman" w:cs="Times New Roman"/>
          <w:sz w:val="24"/>
          <w:szCs w:val="24"/>
        </w:rPr>
        <w:t xml:space="preserve"> EUR)</w:t>
      </w:r>
      <w:r w:rsidRPr="000E6630">
        <w:rPr>
          <w:rFonts w:ascii="Times New Roman" w:hAnsi="Times New Roman" w:cs="Times New Roman"/>
          <w:sz w:val="24"/>
          <w:szCs w:val="24"/>
        </w:rPr>
        <w:t xml:space="preserve">, </w:t>
      </w:r>
      <w:r w:rsidR="009023BA" w:rsidRPr="000E6630">
        <w:rPr>
          <w:rFonts w:ascii="Times New Roman" w:hAnsi="Times New Roman" w:cs="Times New Roman"/>
          <w:sz w:val="24"/>
          <w:szCs w:val="24"/>
        </w:rPr>
        <w:t>noasfaltēt Dārza ielas sākuma posmu 160 m2 Purmsātos (2434</w:t>
      </w:r>
      <w:r w:rsidR="00572FEB">
        <w:rPr>
          <w:rFonts w:ascii="Times New Roman" w:hAnsi="Times New Roman" w:cs="Times New Roman"/>
          <w:sz w:val="24"/>
          <w:szCs w:val="24"/>
        </w:rPr>
        <w:t xml:space="preserve"> </w:t>
      </w:r>
      <w:r w:rsidR="009023BA" w:rsidRPr="000E6630">
        <w:rPr>
          <w:rFonts w:ascii="Times New Roman" w:hAnsi="Times New Roman" w:cs="Times New Roman"/>
          <w:sz w:val="24"/>
          <w:szCs w:val="24"/>
        </w:rPr>
        <w:t xml:space="preserve">EUR), </w:t>
      </w:r>
      <w:r w:rsidRPr="000E6630">
        <w:rPr>
          <w:rFonts w:ascii="Times New Roman" w:hAnsi="Times New Roman" w:cs="Times New Roman"/>
          <w:sz w:val="24"/>
          <w:szCs w:val="24"/>
        </w:rPr>
        <w:t xml:space="preserve">uzstādīt jaunas ceļa zīmes </w:t>
      </w:r>
      <w:r w:rsidR="009023BA" w:rsidRPr="000E6630">
        <w:rPr>
          <w:rFonts w:ascii="Times New Roman" w:hAnsi="Times New Roman" w:cs="Times New Roman"/>
          <w:sz w:val="24"/>
          <w:szCs w:val="24"/>
        </w:rPr>
        <w:t>Bunkas pagastā</w:t>
      </w:r>
      <w:r w:rsidRPr="000E6630">
        <w:rPr>
          <w:rFonts w:ascii="Times New Roman" w:hAnsi="Times New Roman" w:cs="Times New Roman"/>
          <w:sz w:val="24"/>
          <w:szCs w:val="24"/>
        </w:rPr>
        <w:t xml:space="preserve"> un Priekul</w:t>
      </w:r>
      <w:r w:rsidR="009023BA" w:rsidRPr="000E6630">
        <w:rPr>
          <w:rFonts w:ascii="Times New Roman" w:hAnsi="Times New Roman" w:cs="Times New Roman"/>
          <w:sz w:val="24"/>
          <w:szCs w:val="24"/>
        </w:rPr>
        <w:t>ē.</w:t>
      </w:r>
      <w:r w:rsidRPr="000E6630">
        <w:rPr>
          <w:rFonts w:ascii="Times New Roman" w:hAnsi="Times New Roman" w:cs="Times New Roman"/>
          <w:sz w:val="24"/>
          <w:szCs w:val="24"/>
        </w:rPr>
        <w:t xml:space="preserve"> Domes sēdē tiks apstiprināta</w:t>
      </w:r>
      <w:r w:rsidRPr="00EB479E">
        <w:rPr>
          <w:rFonts w:ascii="Times New Roman" w:hAnsi="Times New Roman" w:cs="Times New Roman"/>
          <w:sz w:val="24"/>
          <w:szCs w:val="24"/>
        </w:rPr>
        <w:t xml:space="preserve"> arī Priekules novada pašvaldības autoceļu fonda izlietošanas vidējā termiņa programma 201</w:t>
      </w:r>
      <w:r w:rsidR="00D3262C">
        <w:rPr>
          <w:rFonts w:ascii="Times New Roman" w:hAnsi="Times New Roman" w:cs="Times New Roman"/>
          <w:sz w:val="24"/>
          <w:szCs w:val="24"/>
        </w:rPr>
        <w:t>8</w:t>
      </w:r>
      <w:r w:rsidRPr="00EB479E">
        <w:rPr>
          <w:rFonts w:ascii="Times New Roman" w:hAnsi="Times New Roman" w:cs="Times New Roman"/>
          <w:sz w:val="24"/>
          <w:szCs w:val="24"/>
        </w:rPr>
        <w:t>.-20</w:t>
      </w:r>
      <w:r w:rsidR="00D3262C">
        <w:rPr>
          <w:rFonts w:ascii="Times New Roman" w:hAnsi="Times New Roman" w:cs="Times New Roman"/>
          <w:sz w:val="24"/>
          <w:szCs w:val="24"/>
        </w:rPr>
        <w:t>20</w:t>
      </w:r>
      <w:r w:rsidRPr="00EB479E">
        <w:rPr>
          <w:rFonts w:ascii="Times New Roman" w:hAnsi="Times New Roman" w:cs="Times New Roman"/>
          <w:sz w:val="24"/>
          <w:szCs w:val="24"/>
        </w:rPr>
        <w:t>.gadam.</w:t>
      </w:r>
    </w:p>
    <w:p w:rsidR="00C77F87" w:rsidRDefault="00C77F87">
      <w:pPr>
        <w:rPr>
          <w:rFonts w:ascii="Times New Roman" w:hAnsi="Times New Roman" w:cs="Times New Roman"/>
          <w:b/>
          <w:sz w:val="24"/>
          <w:szCs w:val="24"/>
        </w:rPr>
      </w:pPr>
      <w:r>
        <w:rPr>
          <w:rFonts w:ascii="Times New Roman" w:hAnsi="Times New Roman" w:cs="Times New Roman"/>
          <w:b/>
          <w:sz w:val="24"/>
          <w:szCs w:val="24"/>
        </w:rPr>
        <w:br w:type="page"/>
      </w:r>
    </w:p>
    <w:p w:rsidR="00EB479E" w:rsidRPr="000E6630" w:rsidRDefault="00BB51F5" w:rsidP="000E6630">
      <w:pPr>
        <w:jc w:val="center"/>
        <w:rPr>
          <w:rFonts w:ascii="Times New Roman" w:hAnsi="Times New Roman" w:cs="Times New Roman"/>
          <w:b/>
          <w:sz w:val="28"/>
          <w:szCs w:val="24"/>
        </w:rPr>
      </w:pPr>
      <w:r>
        <w:rPr>
          <w:rFonts w:ascii="Times New Roman" w:hAnsi="Times New Roman" w:cs="Times New Roman"/>
          <w:b/>
          <w:sz w:val="28"/>
          <w:szCs w:val="24"/>
        </w:rPr>
        <w:lastRenderedPageBreak/>
        <w:t>Ziedojumu un dāvinājumu budžets</w:t>
      </w:r>
      <w:bookmarkStart w:id="1" w:name="_GoBack"/>
      <w:bookmarkEnd w:id="1"/>
    </w:p>
    <w:p w:rsidR="00EB479E" w:rsidRPr="000E6630" w:rsidRDefault="00EB479E" w:rsidP="00EB479E">
      <w:pPr>
        <w:ind w:firstLine="720"/>
        <w:jc w:val="both"/>
        <w:rPr>
          <w:rFonts w:ascii="Times New Roman" w:hAnsi="Times New Roman" w:cs="Times New Roman"/>
          <w:sz w:val="24"/>
          <w:szCs w:val="24"/>
        </w:rPr>
      </w:pPr>
      <w:r w:rsidRPr="000E6630">
        <w:rPr>
          <w:rFonts w:ascii="Times New Roman" w:hAnsi="Times New Roman" w:cs="Times New Roman"/>
          <w:sz w:val="24"/>
          <w:szCs w:val="24"/>
        </w:rPr>
        <w:t>Šī budžeta ieņēmumus veido pašvaldības saņemtie ziedojumi un dāvinājumi. 201</w:t>
      </w:r>
      <w:r w:rsidR="000E6630" w:rsidRPr="000E6630">
        <w:rPr>
          <w:rFonts w:ascii="Times New Roman" w:hAnsi="Times New Roman" w:cs="Times New Roman"/>
          <w:sz w:val="24"/>
          <w:szCs w:val="24"/>
        </w:rPr>
        <w:t>8</w:t>
      </w:r>
      <w:r w:rsidRPr="000E6630">
        <w:rPr>
          <w:rFonts w:ascii="Times New Roman" w:hAnsi="Times New Roman" w:cs="Times New Roman"/>
          <w:sz w:val="24"/>
          <w:szCs w:val="24"/>
        </w:rPr>
        <w:t xml:space="preserve">.gadā </w:t>
      </w:r>
      <w:r w:rsidR="000E6630" w:rsidRPr="000E6630">
        <w:rPr>
          <w:rFonts w:ascii="Times New Roman" w:hAnsi="Times New Roman" w:cs="Times New Roman"/>
          <w:sz w:val="24"/>
          <w:szCs w:val="24"/>
        </w:rPr>
        <w:t>ieņēmumi nav plānoti</w:t>
      </w:r>
      <w:r w:rsidRPr="000E6630">
        <w:rPr>
          <w:rFonts w:ascii="Times New Roman" w:hAnsi="Times New Roman" w:cs="Times New Roman"/>
          <w:sz w:val="24"/>
          <w:szCs w:val="24"/>
        </w:rPr>
        <w:t xml:space="preserve">. Izdevumos plānoti </w:t>
      </w:r>
      <w:r w:rsidR="000E6630" w:rsidRPr="000E6630">
        <w:rPr>
          <w:rFonts w:ascii="Times New Roman" w:hAnsi="Times New Roman" w:cs="Times New Roman"/>
          <w:sz w:val="24"/>
          <w:szCs w:val="24"/>
        </w:rPr>
        <w:t>2 197</w:t>
      </w:r>
      <w:r w:rsidRPr="000E6630">
        <w:rPr>
          <w:rFonts w:ascii="Times New Roman" w:hAnsi="Times New Roman" w:cs="Times New Roman"/>
          <w:sz w:val="24"/>
          <w:szCs w:val="24"/>
        </w:rPr>
        <w:t xml:space="preserve"> EUR, </w:t>
      </w:r>
      <w:r w:rsidR="000E6630" w:rsidRPr="000E6630">
        <w:rPr>
          <w:rFonts w:ascii="Times New Roman" w:hAnsi="Times New Roman" w:cs="Times New Roman"/>
          <w:sz w:val="24"/>
          <w:szCs w:val="24"/>
        </w:rPr>
        <w:t xml:space="preserve">izlietojot </w:t>
      </w:r>
      <w:r w:rsidRPr="000E6630">
        <w:rPr>
          <w:rFonts w:ascii="Times New Roman" w:hAnsi="Times New Roman" w:cs="Times New Roman"/>
          <w:sz w:val="24"/>
          <w:szCs w:val="24"/>
        </w:rPr>
        <w:t>no 201</w:t>
      </w:r>
      <w:r w:rsidR="000E6630" w:rsidRPr="000E6630">
        <w:rPr>
          <w:rFonts w:ascii="Times New Roman" w:hAnsi="Times New Roman" w:cs="Times New Roman"/>
          <w:sz w:val="24"/>
          <w:szCs w:val="24"/>
        </w:rPr>
        <w:t>7</w:t>
      </w:r>
      <w:r w:rsidRPr="000E6630">
        <w:rPr>
          <w:rFonts w:ascii="Times New Roman" w:hAnsi="Times New Roman" w:cs="Times New Roman"/>
          <w:sz w:val="24"/>
          <w:szCs w:val="24"/>
        </w:rPr>
        <w:t>.gada neizlietot</w:t>
      </w:r>
      <w:r w:rsidR="000E6630" w:rsidRPr="000E6630">
        <w:rPr>
          <w:rFonts w:ascii="Times New Roman" w:hAnsi="Times New Roman" w:cs="Times New Roman"/>
          <w:sz w:val="24"/>
          <w:szCs w:val="24"/>
        </w:rPr>
        <w:t>o</w:t>
      </w:r>
      <w:r w:rsidRPr="000E6630">
        <w:rPr>
          <w:rFonts w:ascii="Times New Roman" w:hAnsi="Times New Roman" w:cs="Times New Roman"/>
          <w:sz w:val="24"/>
          <w:szCs w:val="24"/>
        </w:rPr>
        <w:t xml:space="preserve"> līdzekļ</w:t>
      </w:r>
      <w:r w:rsidR="000E6630" w:rsidRPr="000E6630">
        <w:rPr>
          <w:rFonts w:ascii="Times New Roman" w:hAnsi="Times New Roman" w:cs="Times New Roman"/>
          <w:sz w:val="24"/>
          <w:szCs w:val="24"/>
        </w:rPr>
        <w:t>u atlikumu</w:t>
      </w:r>
      <w:r w:rsidRPr="000E6630">
        <w:rPr>
          <w:rFonts w:ascii="Times New Roman" w:hAnsi="Times New Roman" w:cs="Times New Roman"/>
          <w:sz w:val="24"/>
          <w:szCs w:val="24"/>
        </w:rPr>
        <w:t xml:space="preserve"> </w:t>
      </w:r>
      <w:r w:rsidR="000E6630" w:rsidRPr="000E6630">
        <w:rPr>
          <w:rFonts w:ascii="Times New Roman" w:hAnsi="Times New Roman" w:cs="Times New Roman"/>
          <w:sz w:val="24"/>
          <w:szCs w:val="24"/>
        </w:rPr>
        <w:t>2 197</w:t>
      </w:r>
      <w:r w:rsidRPr="000E6630">
        <w:rPr>
          <w:rFonts w:ascii="Times New Roman" w:hAnsi="Times New Roman" w:cs="Times New Roman"/>
          <w:sz w:val="24"/>
          <w:szCs w:val="24"/>
        </w:rPr>
        <w:t xml:space="preserve"> EUR. </w:t>
      </w:r>
    </w:p>
    <w:p w:rsidR="00EB479E" w:rsidRDefault="00EB479E" w:rsidP="00EB479E">
      <w:pPr>
        <w:pStyle w:val="Default"/>
        <w:spacing w:line="276" w:lineRule="auto"/>
        <w:ind w:firstLine="720"/>
        <w:jc w:val="both"/>
        <w:rPr>
          <w:color w:val="auto"/>
          <w:sz w:val="22"/>
          <w:szCs w:val="22"/>
        </w:rPr>
      </w:pPr>
    </w:p>
    <w:tbl>
      <w:tblPr>
        <w:tblW w:w="8920" w:type="dxa"/>
        <w:tblLook w:val="04A0" w:firstRow="1" w:lastRow="0" w:firstColumn="1" w:lastColumn="0" w:noHBand="0" w:noVBand="1"/>
      </w:tblPr>
      <w:tblGrid>
        <w:gridCol w:w="6500"/>
        <w:gridCol w:w="2420"/>
      </w:tblGrid>
      <w:tr w:rsidR="000E6630" w:rsidRPr="000E6630" w:rsidTr="000E6630">
        <w:trPr>
          <w:trHeight w:val="336"/>
        </w:trPr>
        <w:tc>
          <w:tcPr>
            <w:tcW w:w="8920" w:type="dxa"/>
            <w:gridSpan w:val="2"/>
            <w:tcBorders>
              <w:top w:val="nil"/>
              <w:left w:val="nil"/>
              <w:bottom w:val="nil"/>
              <w:right w:val="nil"/>
            </w:tcBorders>
            <w:shd w:val="clear" w:color="auto" w:fill="auto"/>
            <w:noWrap/>
            <w:vAlign w:val="bottom"/>
            <w:hideMark/>
          </w:tcPr>
          <w:p w:rsidR="000E6630" w:rsidRPr="000E6630" w:rsidRDefault="000E6630" w:rsidP="000E6630">
            <w:pPr>
              <w:spacing w:after="0" w:line="240" w:lineRule="auto"/>
              <w:rPr>
                <w:rFonts w:ascii="Times New Roman" w:eastAsia="Times New Roman" w:hAnsi="Times New Roman" w:cs="Times New Roman"/>
                <w:b/>
                <w:bCs/>
                <w:color w:val="000000"/>
                <w:sz w:val="26"/>
                <w:szCs w:val="26"/>
                <w:lang w:eastAsia="lv-LV"/>
              </w:rPr>
            </w:pPr>
            <w:r w:rsidRPr="000E6630">
              <w:rPr>
                <w:rFonts w:ascii="Times New Roman" w:eastAsia="Times New Roman" w:hAnsi="Times New Roman" w:cs="Times New Roman"/>
                <w:b/>
                <w:bCs/>
                <w:color w:val="000000"/>
                <w:sz w:val="26"/>
                <w:szCs w:val="26"/>
                <w:lang w:eastAsia="lv-LV"/>
              </w:rPr>
              <w:t>Priekules novada pašvaldības 2018. gadam plānotie ziedojumi un dāvinājumi</w:t>
            </w:r>
          </w:p>
        </w:tc>
      </w:tr>
      <w:tr w:rsidR="000E6630" w:rsidRPr="000E6630" w:rsidTr="000E6630">
        <w:trPr>
          <w:trHeight w:val="312"/>
        </w:trPr>
        <w:tc>
          <w:tcPr>
            <w:tcW w:w="6500" w:type="dxa"/>
            <w:tcBorders>
              <w:top w:val="nil"/>
              <w:left w:val="nil"/>
              <w:bottom w:val="nil"/>
              <w:right w:val="nil"/>
            </w:tcBorders>
            <w:shd w:val="clear" w:color="auto" w:fill="auto"/>
            <w:noWrap/>
            <w:vAlign w:val="bottom"/>
            <w:hideMark/>
          </w:tcPr>
          <w:p w:rsidR="000E6630" w:rsidRPr="000E6630" w:rsidRDefault="000E6630" w:rsidP="000E6630">
            <w:pPr>
              <w:spacing w:after="0" w:line="240" w:lineRule="auto"/>
              <w:rPr>
                <w:rFonts w:ascii="Times New Roman" w:eastAsia="Times New Roman" w:hAnsi="Times New Roman" w:cs="Times New Roman"/>
                <w:b/>
                <w:bCs/>
                <w:color w:val="000000"/>
                <w:sz w:val="26"/>
                <w:szCs w:val="26"/>
                <w:lang w:eastAsia="lv-LV"/>
              </w:rPr>
            </w:pPr>
          </w:p>
        </w:tc>
        <w:tc>
          <w:tcPr>
            <w:tcW w:w="2420" w:type="dxa"/>
            <w:tcBorders>
              <w:top w:val="nil"/>
              <w:left w:val="nil"/>
              <w:bottom w:val="nil"/>
              <w:right w:val="nil"/>
            </w:tcBorders>
            <w:shd w:val="clear" w:color="auto" w:fill="auto"/>
            <w:noWrap/>
            <w:vAlign w:val="bottom"/>
            <w:hideMark/>
          </w:tcPr>
          <w:p w:rsidR="000E6630" w:rsidRPr="000E6630" w:rsidRDefault="000E6630" w:rsidP="000E6630">
            <w:pPr>
              <w:spacing w:after="0" w:line="240" w:lineRule="auto"/>
              <w:rPr>
                <w:rFonts w:ascii="Times New Roman" w:eastAsia="Times New Roman" w:hAnsi="Times New Roman" w:cs="Times New Roman"/>
                <w:sz w:val="20"/>
                <w:szCs w:val="20"/>
                <w:lang w:eastAsia="lv-LV"/>
              </w:rPr>
            </w:pPr>
          </w:p>
        </w:tc>
      </w:tr>
      <w:tr w:rsidR="000E6630" w:rsidRPr="000E6630" w:rsidTr="000E6630">
        <w:trPr>
          <w:trHeight w:val="312"/>
        </w:trPr>
        <w:tc>
          <w:tcPr>
            <w:tcW w:w="6500" w:type="dxa"/>
            <w:tcBorders>
              <w:top w:val="nil"/>
              <w:left w:val="nil"/>
              <w:bottom w:val="nil"/>
              <w:right w:val="nil"/>
            </w:tcBorders>
            <w:shd w:val="clear" w:color="auto" w:fill="auto"/>
            <w:noWrap/>
            <w:vAlign w:val="bottom"/>
            <w:hideMark/>
          </w:tcPr>
          <w:p w:rsidR="000E6630" w:rsidRPr="000E6630" w:rsidRDefault="000E6630" w:rsidP="000E6630">
            <w:pPr>
              <w:spacing w:after="0" w:line="240" w:lineRule="auto"/>
              <w:rPr>
                <w:rFonts w:ascii="Times New Roman" w:eastAsia="Times New Roman" w:hAnsi="Times New Roman" w:cs="Times New Roman"/>
                <w:sz w:val="20"/>
                <w:szCs w:val="20"/>
                <w:lang w:eastAsia="lv-LV"/>
              </w:rPr>
            </w:pPr>
          </w:p>
        </w:tc>
        <w:tc>
          <w:tcPr>
            <w:tcW w:w="2420" w:type="dxa"/>
            <w:tcBorders>
              <w:top w:val="nil"/>
              <w:left w:val="nil"/>
              <w:bottom w:val="nil"/>
              <w:right w:val="nil"/>
            </w:tcBorders>
            <w:shd w:val="clear" w:color="auto" w:fill="auto"/>
            <w:noWrap/>
            <w:vAlign w:val="bottom"/>
            <w:hideMark/>
          </w:tcPr>
          <w:p w:rsidR="000E6630" w:rsidRPr="000E6630" w:rsidRDefault="000E6630" w:rsidP="000E6630">
            <w:pPr>
              <w:spacing w:after="0" w:line="240" w:lineRule="auto"/>
              <w:rPr>
                <w:rFonts w:ascii="Times New Roman" w:eastAsia="Times New Roman" w:hAnsi="Times New Roman" w:cs="Times New Roman"/>
                <w:sz w:val="20"/>
                <w:szCs w:val="20"/>
                <w:lang w:eastAsia="lv-LV"/>
              </w:rPr>
            </w:pPr>
          </w:p>
        </w:tc>
      </w:tr>
      <w:tr w:rsidR="000E6630" w:rsidRPr="000E6630" w:rsidTr="005D65DE">
        <w:trPr>
          <w:trHeight w:val="624"/>
        </w:trPr>
        <w:tc>
          <w:tcPr>
            <w:tcW w:w="6500" w:type="dxa"/>
            <w:vMerge w:val="restart"/>
            <w:tcBorders>
              <w:top w:val="single" w:sz="4" w:space="0" w:color="auto"/>
              <w:left w:val="single" w:sz="4" w:space="0" w:color="auto"/>
              <w:bottom w:val="single" w:sz="4" w:space="0" w:color="000000"/>
              <w:right w:val="single" w:sz="4" w:space="0" w:color="auto"/>
            </w:tcBorders>
            <w:shd w:val="clear" w:color="auto" w:fill="D6E3BC" w:themeFill="accent3" w:themeFillTint="66"/>
            <w:vAlign w:val="center"/>
            <w:hideMark/>
          </w:tcPr>
          <w:p w:rsidR="000E6630" w:rsidRPr="000E6630" w:rsidRDefault="000E6630" w:rsidP="000E6630">
            <w:pPr>
              <w:spacing w:after="0" w:line="240" w:lineRule="auto"/>
              <w:jc w:val="center"/>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Rādītāju nosaukumi</w:t>
            </w:r>
          </w:p>
        </w:tc>
        <w:tc>
          <w:tcPr>
            <w:tcW w:w="242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0E6630" w:rsidRPr="000E6630" w:rsidRDefault="000E6630" w:rsidP="000E6630">
            <w:pPr>
              <w:spacing w:after="0" w:line="240" w:lineRule="auto"/>
              <w:jc w:val="center"/>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Apstiprināts 2018. gadam</w:t>
            </w:r>
          </w:p>
        </w:tc>
      </w:tr>
      <w:tr w:rsidR="000E6630" w:rsidRPr="000E6630" w:rsidTr="005D65DE">
        <w:trPr>
          <w:trHeight w:val="312"/>
        </w:trPr>
        <w:tc>
          <w:tcPr>
            <w:tcW w:w="6500" w:type="dxa"/>
            <w:vMerge/>
            <w:tcBorders>
              <w:top w:val="single" w:sz="4" w:space="0" w:color="auto"/>
              <w:left w:val="single" w:sz="4" w:space="0" w:color="auto"/>
              <w:bottom w:val="single" w:sz="4" w:space="0" w:color="000000"/>
              <w:right w:val="single" w:sz="4" w:space="0" w:color="auto"/>
            </w:tcBorders>
            <w:shd w:val="clear" w:color="auto" w:fill="D6E3BC" w:themeFill="accent3" w:themeFillTint="66"/>
            <w:vAlign w:val="center"/>
            <w:hideMark/>
          </w:tcPr>
          <w:p w:rsidR="000E6630" w:rsidRPr="000E6630" w:rsidRDefault="000E6630" w:rsidP="000E6630">
            <w:pPr>
              <w:spacing w:after="0" w:line="240" w:lineRule="auto"/>
              <w:rPr>
                <w:rFonts w:ascii="Times New Roman" w:eastAsia="Times New Roman" w:hAnsi="Times New Roman" w:cs="Times New Roman"/>
                <w:b/>
                <w:bCs/>
                <w:color w:val="000000"/>
                <w:sz w:val="24"/>
                <w:szCs w:val="24"/>
                <w:lang w:eastAsia="lv-LV"/>
              </w:rPr>
            </w:pPr>
          </w:p>
        </w:tc>
        <w:tc>
          <w:tcPr>
            <w:tcW w:w="2420" w:type="dxa"/>
            <w:tcBorders>
              <w:top w:val="nil"/>
              <w:left w:val="nil"/>
              <w:bottom w:val="single" w:sz="4" w:space="0" w:color="auto"/>
              <w:right w:val="single" w:sz="4" w:space="0" w:color="auto"/>
            </w:tcBorders>
            <w:shd w:val="clear" w:color="auto" w:fill="D6E3BC" w:themeFill="accent3" w:themeFillTint="66"/>
            <w:vAlign w:val="bottom"/>
            <w:hideMark/>
          </w:tcPr>
          <w:p w:rsidR="000E6630" w:rsidRPr="000E6630" w:rsidRDefault="000E6630" w:rsidP="000E6630">
            <w:pPr>
              <w:spacing w:after="0" w:line="240" w:lineRule="auto"/>
              <w:jc w:val="center"/>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EUR</w:t>
            </w:r>
          </w:p>
        </w:tc>
      </w:tr>
      <w:tr w:rsidR="000E6630" w:rsidRPr="000E6630" w:rsidTr="005D65DE">
        <w:trPr>
          <w:trHeight w:val="312"/>
        </w:trPr>
        <w:tc>
          <w:tcPr>
            <w:tcW w:w="6500"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0E6630" w:rsidRPr="000E6630" w:rsidRDefault="000E6630" w:rsidP="000E6630">
            <w:pPr>
              <w:spacing w:after="0" w:line="240" w:lineRule="auto"/>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II IZDEVUMI - kopā</w:t>
            </w:r>
          </w:p>
        </w:tc>
        <w:tc>
          <w:tcPr>
            <w:tcW w:w="2420" w:type="dxa"/>
            <w:tcBorders>
              <w:top w:val="nil"/>
              <w:left w:val="nil"/>
              <w:bottom w:val="single" w:sz="4" w:space="0" w:color="auto"/>
              <w:right w:val="single" w:sz="4" w:space="0" w:color="auto"/>
            </w:tcBorders>
            <w:shd w:val="clear" w:color="auto" w:fill="D6E3BC" w:themeFill="accent3" w:themeFillTint="66"/>
            <w:vAlign w:val="bottom"/>
            <w:hideMark/>
          </w:tcPr>
          <w:p w:rsidR="000E6630" w:rsidRPr="000E6630" w:rsidRDefault="000E6630" w:rsidP="000E6630">
            <w:pPr>
              <w:spacing w:after="0" w:line="240" w:lineRule="auto"/>
              <w:jc w:val="right"/>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2197,00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01.1103-6 Gramzdas pagasta pārvaldes administrācija - </w:t>
            </w:r>
            <w:proofErr w:type="spellStart"/>
            <w:r w:rsidRPr="000E6630">
              <w:rPr>
                <w:rFonts w:ascii="Times New Roman" w:eastAsia="Times New Roman" w:hAnsi="Times New Roman" w:cs="Times New Roman"/>
                <w:color w:val="000000"/>
                <w:sz w:val="24"/>
                <w:szCs w:val="24"/>
                <w:lang w:eastAsia="lv-LV"/>
              </w:rPr>
              <w:t>Dāvin</w:t>
            </w:r>
            <w:proofErr w:type="spellEnd"/>
            <w:r w:rsidRPr="000E6630">
              <w:rPr>
                <w:rFonts w:ascii="Times New Roman" w:eastAsia="Times New Roman" w:hAnsi="Times New Roman" w:cs="Times New Roman"/>
                <w:color w:val="000000"/>
                <w:sz w:val="24"/>
                <w:szCs w:val="24"/>
                <w:lang w:eastAsia="lv-LV"/>
              </w:rPr>
              <w:t>.</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1584,00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09.2101-6 Priekules vidusskola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418,00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09.2103-6 Gramzdas pamatskola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91,00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09.2107-6 Purmsātu speciālā internātpamatskola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104,00</w:t>
            </w:r>
          </w:p>
        </w:tc>
      </w:tr>
      <w:tr w:rsidR="000E6630" w:rsidRPr="000E6630" w:rsidTr="005D65DE">
        <w:trPr>
          <w:trHeight w:val="312"/>
        </w:trPr>
        <w:tc>
          <w:tcPr>
            <w:tcW w:w="6500" w:type="dxa"/>
            <w:tcBorders>
              <w:top w:val="nil"/>
              <w:left w:val="single" w:sz="4" w:space="0" w:color="auto"/>
              <w:bottom w:val="single" w:sz="4" w:space="0" w:color="auto"/>
              <w:right w:val="single" w:sz="4" w:space="0" w:color="auto"/>
            </w:tcBorders>
            <w:shd w:val="clear" w:color="auto" w:fill="D6E3BC" w:themeFill="accent3" w:themeFillTint="66"/>
            <w:vAlign w:val="bottom"/>
            <w:hideMark/>
          </w:tcPr>
          <w:p w:rsidR="000E6630" w:rsidRPr="000E6630" w:rsidRDefault="000E6630" w:rsidP="000E6630">
            <w:pPr>
              <w:spacing w:after="0" w:line="240" w:lineRule="auto"/>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IV FINANSĒŠANA - kopā</w:t>
            </w:r>
          </w:p>
        </w:tc>
        <w:tc>
          <w:tcPr>
            <w:tcW w:w="2420" w:type="dxa"/>
            <w:tcBorders>
              <w:top w:val="nil"/>
              <w:left w:val="nil"/>
              <w:bottom w:val="single" w:sz="4" w:space="0" w:color="auto"/>
              <w:right w:val="single" w:sz="4" w:space="0" w:color="auto"/>
            </w:tcBorders>
            <w:shd w:val="clear" w:color="auto" w:fill="D6E3BC" w:themeFill="accent3" w:themeFillTint="66"/>
            <w:vAlign w:val="bottom"/>
            <w:hideMark/>
          </w:tcPr>
          <w:p w:rsidR="000E6630" w:rsidRPr="000E6630" w:rsidRDefault="000E6630" w:rsidP="000E6630">
            <w:pPr>
              <w:spacing w:after="0" w:line="240" w:lineRule="auto"/>
              <w:jc w:val="right"/>
              <w:rPr>
                <w:rFonts w:ascii="Times New Roman" w:eastAsia="Times New Roman" w:hAnsi="Times New Roman" w:cs="Times New Roman"/>
                <w:b/>
                <w:bCs/>
                <w:color w:val="000000"/>
                <w:sz w:val="24"/>
                <w:szCs w:val="24"/>
                <w:lang w:eastAsia="lv-LV"/>
              </w:rPr>
            </w:pPr>
            <w:r w:rsidRPr="000E6630">
              <w:rPr>
                <w:rFonts w:ascii="Times New Roman" w:eastAsia="Times New Roman" w:hAnsi="Times New Roman" w:cs="Times New Roman"/>
                <w:b/>
                <w:bCs/>
                <w:color w:val="000000"/>
                <w:sz w:val="24"/>
                <w:szCs w:val="24"/>
                <w:lang w:eastAsia="lv-LV"/>
              </w:rPr>
              <w:t>2197,00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01.1103-6 Gramzdas pagasta pārvaldes administrācija - </w:t>
            </w:r>
            <w:proofErr w:type="spellStart"/>
            <w:r w:rsidRPr="000E6630">
              <w:rPr>
                <w:rFonts w:ascii="Times New Roman" w:eastAsia="Times New Roman" w:hAnsi="Times New Roman" w:cs="Times New Roman"/>
                <w:color w:val="000000"/>
                <w:sz w:val="24"/>
                <w:szCs w:val="24"/>
                <w:lang w:eastAsia="lv-LV"/>
              </w:rPr>
              <w:t>Dāvin</w:t>
            </w:r>
            <w:proofErr w:type="spellEnd"/>
            <w:r w:rsidRPr="000E6630">
              <w:rPr>
                <w:rFonts w:ascii="Times New Roman" w:eastAsia="Times New Roman" w:hAnsi="Times New Roman" w:cs="Times New Roman"/>
                <w:color w:val="000000"/>
                <w:sz w:val="24"/>
                <w:szCs w:val="24"/>
                <w:lang w:eastAsia="lv-LV"/>
              </w:rPr>
              <w:t>.</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1639,00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08.2301-6 Kultūras nams Priekule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-1,00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09.2101-6 Priekules vidusskola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418,00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09.2103-6 Gramzdas pamatskola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91,00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09.2104-6 Kalētu pamatskola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-54,00</w:t>
            </w:r>
          </w:p>
        </w:tc>
      </w:tr>
      <w:tr w:rsidR="000E6630" w:rsidRPr="000E6630" w:rsidTr="000E6630">
        <w:trPr>
          <w:trHeight w:val="312"/>
        </w:trPr>
        <w:tc>
          <w:tcPr>
            <w:tcW w:w="6500" w:type="dxa"/>
            <w:tcBorders>
              <w:top w:val="nil"/>
              <w:left w:val="single" w:sz="4" w:space="0" w:color="auto"/>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 xml:space="preserve">  09.2107-6 Purmsātu speciālā internātpamatskola DĀVIN</w:t>
            </w:r>
          </w:p>
        </w:tc>
        <w:tc>
          <w:tcPr>
            <w:tcW w:w="2420" w:type="dxa"/>
            <w:tcBorders>
              <w:top w:val="nil"/>
              <w:left w:val="nil"/>
              <w:bottom w:val="single" w:sz="4" w:space="0" w:color="auto"/>
              <w:right w:val="single" w:sz="4" w:space="0" w:color="auto"/>
            </w:tcBorders>
            <w:shd w:val="clear" w:color="auto" w:fill="auto"/>
            <w:vAlign w:val="bottom"/>
            <w:hideMark/>
          </w:tcPr>
          <w:p w:rsidR="000E6630" w:rsidRPr="000E6630" w:rsidRDefault="000E6630" w:rsidP="000E6630">
            <w:pPr>
              <w:spacing w:after="0" w:line="240" w:lineRule="auto"/>
              <w:jc w:val="right"/>
              <w:rPr>
                <w:rFonts w:ascii="Times New Roman" w:eastAsia="Times New Roman" w:hAnsi="Times New Roman" w:cs="Times New Roman"/>
                <w:color w:val="000000"/>
                <w:sz w:val="24"/>
                <w:szCs w:val="24"/>
                <w:lang w:eastAsia="lv-LV"/>
              </w:rPr>
            </w:pPr>
            <w:r w:rsidRPr="000E6630">
              <w:rPr>
                <w:rFonts w:ascii="Times New Roman" w:eastAsia="Times New Roman" w:hAnsi="Times New Roman" w:cs="Times New Roman"/>
                <w:color w:val="000000"/>
                <w:sz w:val="24"/>
                <w:szCs w:val="24"/>
                <w:lang w:eastAsia="lv-LV"/>
              </w:rPr>
              <w:t>104,00</w:t>
            </w:r>
          </w:p>
        </w:tc>
      </w:tr>
    </w:tbl>
    <w:p w:rsidR="000E6630" w:rsidRDefault="000E6630" w:rsidP="00EB479E">
      <w:pPr>
        <w:pStyle w:val="Default"/>
        <w:spacing w:line="276" w:lineRule="auto"/>
        <w:ind w:firstLine="720"/>
        <w:jc w:val="both"/>
        <w:rPr>
          <w:color w:val="auto"/>
          <w:sz w:val="22"/>
          <w:szCs w:val="22"/>
        </w:rPr>
      </w:pPr>
    </w:p>
    <w:p w:rsidR="00E610FA" w:rsidRDefault="00E610FA" w:rsidP="00EB479E">
      <w:pPr>
        <w:pStyle w:val="Default"/>
        <w:spacing w:line="276" w:lineRule="auto"/>
        <w:ind w:firstLine="720"/>
        <w:jc w:val="both"/>
        <w:rPr>
          <w:color w:val="auto"/>
          <w:sz w:val="22"/>
          <w:szCs w:val="22"/>
        </w:rPr>
      </w:pPr>
    </w:p>
    <w:p w:rsidR="00E610FA" w:rsidRPr="00EB479E" w:rsidRDefault="00E610FA" w:rsidP="00EB479E">
      <w:pPr>
        <w:pStyle w:val="Default"/>
        <w:spacing w:line="276" w:lineRule="auto"/>
        <w:ind w:firstLine="720"/>
        <w:jc w:val="both"/>
        <w:rPr>
          <w:color w:val="auto"/>
          <w:sz w:val="22"/>
          <w:szCs w:val="22"/>
        </w:rPr>
      </w:pPr>
    </w:p>
    <w:p w:rsidR="000F7512" w:rsidRPr="000E6630" w:rsidRDefault="00E610FA" w:rsidP="00A3137D">
      <w:pPr>
        <w:jc w:val="both"/>
        <w:rPr>
          <w:rFonts w:ascii="Times New Roman" w:hAnsi="Times New Roman" w:cs="Times New Roman"/>
          <w:sz w:val="24"/>
          <w:szCs w:val="24"/>
        </w:rPr>
      </w:pPr>
      <w:r w:rsidRPr="000E6630">
        <w:rPr>
          <w:rFonts w:ascii="Times New Roman" w:hAnsi="Times New Roman" w:cs="Times New Roman"/>
          <w:sz w:val="24"/>
          <w:szCs w:val="24"/>
        </w:rPr>
        <w:t>Pašvaldības domes priekšsēdētāja Vija Jablonska</w:t>
      </w:r>
    </w:p>
    <w:sectPr w:rsidR="000F7512" w:rsidRPr="000E6630" w:rsidSect="00BB51F5">
      <w:footerReference w:type="default" r:id="rId11"/>
      <w:pgSz w:w="11906" w:h="16838"/>
      <w:pgMar w:top="1276" w:right="113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A2" w:rsidRDefault="00076DA2" w:rsidP="005A6E8F">
      <w:pPr>
        <w:spacing w:after="0" w:line="240" w:lineRule="auto"/>
      </w:pPr>
      <w:r>
        <w:separator/>
      </w:r>
    </w:p>
  </w:endnote>
  <w:endnote w:type="continuationSeparator" w:id="0">
    <w:p w:rsidR="00076DA2" w:rsidRDefault="00076DA2" w:rsidP="005A6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381754"/>
      <w:docPartObj>
        <w:docPartGallery w:val="Page Numbers (Bottom of Page)"/>
        <w:docPartUnique/>
      </w:docPartObj>
    </w:sdtPr>
    <w:sdtEndPr/>
    <w:sdtContent>
      <w:p w:rsidR="001B4DA3" w:rsidRDefault="001B4DA3">
        <w:pPr>
          <w:pStyle w:val="Kjene"/>
          <w:jc w:val="right"/>
        </w:pPr>
        <w:r>
          <w:fldChar w:fldCharType="begin"/>
        </w:r>
        <w:r>
          <w:instrText>PAGE   \* MERGEFORMAT</w:instrText>
        </w:r>
        <w:r>
          <w:fldChar w:fldCharType="separate"/>
        </w:r>
        <w:r w:rsidR="00BB51F5">
          <w:rPr>
            <w:noProof/>
          </w:rPr>
          <w:t>13</w:t>
        </w:r>
        <w:r>
          <w:fldChar w:fldCharType="end"/>
        </w:r>
      </w:p>
    </w:sdtContent>
  </w:sdt>
  <w:p w:rsidR="001B4DA3" w:rsidRDefault="001B4D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A2" w:rsidRDefault="00076DA2" w:rsidP="005A6E8F">
      <w:pPr>
        <w:spacing w:after="0" w:line="240" w:lineRule="auto"/>
      </w:pPr>
      <w:r>
        <w:separator/>
      </w:r>
    </w:p>
  </w:footnote>
  <w:footnote w:type="continuationSeparator" w:id="0">
    <w:p w:rsidR="00076DA2" w:rsidRDefault="00076DA2" w:rsidP="005A6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65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C7"/>
    <w:rsid w:val="0003078F"/>
    <w:rsid w:val="00052B52"/>
    <w:rsid w:val="00061608"/>
    <w:rsid w:val="000701F9"/>
    <w:rsid w:val="00076DA2"/>
    <w:rsid w:val="00084CC1"/>
    <w:rsid w:val="000E6630"/>
    <w:rsid w:val="000F7512"/>
    <w:rsid w:val="00125046"/>
    <w:rsid w:val="00125F00"/>
    <w:rsid w:val="00155EB1"/>
    <w:rsid w:val="001803A8"/>
    <w:rsid w:val="001935F7"/>
    <w:rsid w:val="001A4016"/>
    <w:rsid w:val="001B4DA3"/>
    <w:rsid w:val="001B51F2"/>
    <w:rsid w:val="001C5F51"/>
    <w:rsid w:val="001E6538"/>
    <w:rsid w:val="001F11F7"/>
    <w:rsid w:val="00203A89"/>
    <w:rsid w:val="00205614"/>
    <w:rsid w:val="00206617"/>
    <w:rsid w:val="00241536"/>
    <w:rsid w:val="00282023"/>
    <w:rsid w:val="0029794C"/>
    <w:rsid w:val="002B55F4"/>
    <w:rsid w:val="002C0E5F"/>
    <w:rsid w:val="002C3948"/>
    <w:rsid w:val="002C5BAF"/>
    <w:rsid w:val="00343991"/>
    <w:rsid w:val="00346D1F"/>
    <w:rsid w:val="00354807"/>
    <w:rsid w:val="003C1D32"/>
    <w:rsid w:val="003E32D5"/>
    <w:rsid w:val="00420A79"/>
    <w:rsid w:val="004217AC"/>
    <w:rsid w:val="00421A5E"/>
    <w:rsid w:val="004308A1"/>
    <w:rsid w:val="0048390C"/>
    <w:rsid w:val="004A20B4"/>
    <w:rsid w:val="004B06A8"/>
    <w:rsid w:val="004B5144"/>
    <w:rsid w:val="004C103A"/>
    <w:rsid w:val="004F01FF"/>
    <w:rsid w:val="004F5E77"/>
    <w:rsid w:val="00510314"/>
    <w:rsid w:val="00515732"/>
    <w:rsid w:val="00517648"/>
    <w:rsid w:val="005430F4"/>
    <w:rsid w:val="00553857"/>
    <w:rsid w:val="0056443D"/>
    <w:rsid w:val="00572FEB"/>
    <w:rsid w:val="005A6E8F"/>
    <w:rsid w:val="005D65DE"/>
    <w:rsid w:val="005E5BF6"/>
    <w:rsid w:val="005F3548"/>
    <w:rsid w:val="006179BD"/>
    <w:rsid w:val="00620D95"/>
    <w:rsid w:val="00631DD7"/>
    <w:rsid w:val="006328DC"/>
    <w:rsid w:val="00664457"/>
    <w:rsid w:val="00686143"/>
    <w:rsid w:val="00687529"/>
    <w:rsid w:val="00695BE2"/>
    <w:rsid w:val="006C1251"/>
    <w:rsid w:val="006D5559"/>
    <w:rsid w:val="006F02AC"/>
    <w:rsid w:val="006F778A"/>
    <w:rsid w:val="007448F8"/>
    <w:rsid w:val="007469A5"/>
    <w:rsid w:val="00757E3E"/>
    <w:rsid w:val="00760F7B"/>
    <w:rsid w:val="00761304"/>
    <w:rsid w:val="007826B1"/>
    <w:rsid w:val="00787226"/>
    <w:rsid w:val="007B07BE"/>
    <w:rsid w:val="007B1BC8"/>
    <w:rsid w:val="007B79F9"/>
    <w:rsid w:val="007E7A74"/>
    <w:rsid w:val="00810D18"/>
    <w:rsid w:val="0084104D"/>
    <w:rsid w:val="00844988"/>
    <w:rsid w:val="0086286B"/>
    <w:rsid w:val="008757C7"/>
    <w:rsid w:val="00875E26"/>
    <w:rsid w:val="00890746"/>
    <w:rsid w:val="008B057A"/>
    <w:rsid w:val="008B7F51"/>
    <w:rsid w:val="008D1EF1"/>
    <w:rsid w:val="008F2B3B"/>
    <w:rsid w:val="009023BA"/>
    <w:rsid w:val="00937929"/>
    <w:rsid w:val="00944311"/>
    <w:rsid w:val="00945EED"/>
    <w:rsid w:val="00967E5D"/>
    <w:rsid w:val="00997686"/>
    <w:rsid w:val="009C5447"/>
    <w:rsid w:val="00A27149"/>
    <w:rsid w:val="00A3137D"/>
    <w:rsid w:val="00A51C0D"/>
    <w:rsid w:val="00A547F0"/>
    <w:rsid w:val="00A674B7"/>
    <w:rsid w:val="00A74594"/>
    <w:rsid w:val="00A85658"/>
    <w:rsid w:val="00A85721"/>
    <w:rsid w:val="00A9155B"/>
    <w:rsid w:val="00A919CF"/>
    <w:rsid w:val="00AC2E56"/>
    <w:rsid w:val="00AC681A"/>
    <w:rsid w:val="00AD10DE"/>
    <w:rsid w:val="00AD2337"/>
    <w:rsid w:val="00B142CB"/>
    <w:rsid w:val="00B90FE8"/>
    <w:rsid w:val="00BB51F5"/>
    <w:rsid w:val="00BE2DBD"/>
    <w:rsid w:val="00C020A2"/>
    <w:rsid w:val="00C5115E"/>
    <w:rsid w:val="00C557A9"/>
    <w:rsid w:val="00C61EDA"/>
    <w:rsid w:val="00C6461B"/>
    <w:rsid w:val="00C73CBF"/>
    <w:rsid w:val="00C77F87"/>
    <w:rsid w:val="00C94FBC"/>
    <w:rsid w:val="00CD06FF"/>
    <w:rsid w:val="00CF5EBC"/>
    <w:rsid w:val="00CF648A"/>
    <w:rsid w:val="00D24A68"/>
    <w:rsid w:val="00D30FDA"/>
    <w:rsid w:val="00D319D0"/>
    <w:rsid w:val="00D3262C"/>
    <w:rsid w:val="00D4620A"/>
    <w:rsid w:val="00D640AC"/>
    <w:rsid w:val="00D73EB0"/>
    <w:rsid w:val="00D869BE"/>
    <w:rsid w:val="00D87750"/>
    <w:rsid w:val="00DF56A5"/>
    <w:rsid w:val="00E431C5"/>
    <w:rsid w:val="00E449A4"/>
    <w:rsid w:val="00E610FA"/>
    <w:rsid w:val="00E63919"/>
    <w:rsid w:val="00E80CC1"/>
    <w:rsid w:val="00EB045B"/>
    <w:rsid w:val="00EB479E"/>
    <w:rsid w:val="00EC2EC2"/>
    <w:rsid w:val="00EC7334"/>
    <w:rsid w:val="00F30085"/>
    <w:rsid w:val="00F37506"/>
    <w:rsid w:val="00F42FE2"/>
    <w:rsid w:val="00F50DD9"/>
    <w:rsid w:val="00F5242B"/>
    <w:rsid w:val="00F77FFB"/>
    <w:rsid w:val="00F8420C"/>
    <w:rsid w:val="00F943DC"/>
    <w:rsid w:val="00FB1294"/>
    <w:rsid w:val="00FF0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CF978-A816-441A-B515-4652256E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565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757C7"/>
    <w:pPr>
      <w:ind w:left="720"/>
      <w:contextualSpacing/>
    </w:pPr>
  </w:style>
  <w:style w:type="paragraph" w:customStyle="1" w:styleId="Default">
    <w:name w:val="Default"/>
    <w:rsid w:val="006F778A"/>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78722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7226"/>
    <w:rPr>
      <w:rFonts w:ascii="Tahoma" w:hAnsi="Tahoma" w:cs="Tahoma"/>
      <w:sz w:val="16"/>
      <w:szCs w:val="16"/>
    </w:rPr>
  </w:style>
  <w:style w:type="paragraph" w:styleId="Galvene">
    <w:name w:val="header"/>
    <w:basedOn w:val="Parasts"/>
    <w:link w:val="GalveneRakstz"/>
    <w:uiPriority w:val="99"/>
    <w:unhideWhenUsed/>
    <w:rsid w:val="005A6E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6E8F"/>
  </w:style>
  <w:style w:type="paragraph" w:styleId="Kjene">
    <w:name w:val="footer"/>
    <w:basedOn w:val="Parasts"/>
    <w:link w:val="KjeneRakstz"/>
    <w:uiPriority w:val="99"/>
    <w:unhideWhenUsed/>
    <w:rsid w:val="005A6E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092">
      <w:bodyDiv w:val="1"/>
      <w:marLeft w:val="0"/>
      <w:marRight w:val="0"/>
      <w:marTop w:val="0"/>
      <w:marBottom w:val="0"/>
      <w:divBdr>
        <w:top w:val="none" w:sz="0" w:space="0" w:color="auto"/>
        <w:left w:val="none" w:sz="0" w:space="0" w:color="auto"/>
        <w:bottom w:val="none" w:sz="0" w:space="0" w:color="auto"/>
        <w:right w:val="none" w:sz="0" w:space="0" w:color="auto"/>
      </w:divBdr>
    </w:div>
    <w:div w:id="74983247">
      <w:bodyDiv w:val="1"/>
      <w:marLeft w:val="0"/>
      <w:marRight w:val="0"/>
      <w:marTop w:val="0"/>
      <w:marBottom w:val="0"/>
      <w:divBdr>
        <w:top w:val="none" w:sz="0" w:space="0" w:color="auto"/>
        <w:left w:val="none" w:sz="0" w:space="0" w:color="auto"/>
        <w:bottom w:val="none" w:sz="0" w:space="0" w:color="auto"/>
        <w:right w:val="none" w:sz="0" w:space="0" w:color="auto"/>
      </w:divBdr>
    </w:div>
    <w:div w:id="168450223">
      <w:bodyDiv w:val="1"/>
      <w:marLeft w:val="0"/>
      <w:marRight w:val="0"/>
      <w:marTop w:val="0"/>
      <w:marBottom w:val="0"/>
      <w:divBdr>
        <w:top w:val="none" w:sz="0" w:space="0" w:color="auto"/>
        <w:left w:val="none" w:sz="0" w:space="0" w:color="auto"/>
        <w:bottom w:val="none" w:sz="0" w:space="0" w:color="auto"/>
        <w:right w:val="none" w:sz="0" w:space="0" w:color="auto"/>
      </w:divBdr>
    </w:div>
    <w:div w:id="272632365">
      <w:bodyDiv w:val="1"/>
      <w:marLeft w:val="0"/>
      <w:marRight w:val="0"/>
      <w:marTop w:val="0"/>
      <w:marBottom w:val="0"/>
      <w:divBdr>
        <w:top w:val="none" w:sz="0" w:space="0" w:color="auto"/>
        <w:left w:val="none" w:sz="0" w:space="0" w:color="auto"/>
        <w:bottom w:val="none" w:sz="0" w:space="0" w:color="auto"/>
        <w:right w:val="none" w:sz="0" w:space="0" w:color="auto"/>
      </w:divBdr>
    </w:div>
    <w:div w:id="285620886">
      <w:bodyDiv w:val="1"/>
      <w:marLeft w:val="0"/>
      <w:marRight w:val="0"/>
      <w:marTop w:val="0"/>
      <w:marBottom w:val="0"/>
      <w:divBdr>
        <w:top w:val="none" w:sz="0" w:space="0" w:color="auto"/>
        <w:left w:val="none" w:sz="0" w:space="0" w:color="auto"/>
        <w:bottom w:val="none" w:sz="0" w:space="0" w:color="auto"/>
        <w:right w:val="none" w:sz="0" w:space="0" w:color="auto"/>
      </w:divBdr>
    </w:div>
    <w:div w:id="395394068">
      <w:bodyDiv w:val="1"/>
      <w:marLeft w:val="0"/>
      <w:marRight w:val="0"/>
      <w:marTop w:val="0"/>
      <w:marBottom w:val="0"/>
      <w:divBdr>
        <w:top w:val="none" w:sz="0" w:space="0" w:color="auto"/>
        <w:left w:val="none" w:sz="0" w:space="0" w:color="auto"/>
        <w:bottom w:val="none" w:sz="0" w:space="0" w:color="auto"/>
        <w:right w:val="none" w:sz="0" w:space="0" w:color="auto"/>
      </w:divBdr>
    </w:div>
    <w:div w:id="571702238">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749303873">
      <w:bodyDiv w:val="1"/>
      <w:marLeft w:val="0"/>
      <w:marRight w:val="0"/>
      <w:marTop w:val="0"/>
      <w:marBottom w:val="0"/>
      <w:divBdr>
        <w:top w:val="none" w:sz="0" w:space="0" w:color="auto"/>
        <w:left w:val="none" w:sz="0" w:space="0" w:color="auto"/>
        <w:bottom w:val="none" w:sz="0" w:space="0" w:color="auto"/>
        <w:right w:val="none" w:sz="0" w:space="0" w:color="auto"/>
      </w:divBdr>
    </w:div>
    <w:div w:id="761145865">
      <w:bodyDiv w:val="1"/>
      <w:marLeft w:val="0"/>
      <w:marRight w:val="0"/>
      <w:marTop w:val="0"/>
      <w:marBottom w:val="0"/>
      <w:divBdr>
        <w:top w:val="none" w:sz="0" w:space="0" w:color="auto"/>
        <w:left w:val="none" w:sz="0" w:space="0" w:color="auto"/>
        <w:bottom w:val="none" w:sz="0" w:space="0" w:color="auto"/>
        <w:right w:val="none" w:sz="0" w:space="0" w:color="auto"/>
      </w:divBdr>
    </w:div>
    <w:div w:id="771634442">
      <w:bodyDiv w:val="1"/>
      <w:marLeft w:val="0"/>
      <w:marRight w:val="0"/>
      <w:marTop w:val="0"/>
      <w:marBottom w:val="0"/>
      <w:divBdr>
        <w:top w:val="none" w:sz="0" w:space="0" w:color="auto"/>
        <w:left w:val="none" w:sz="0" w:space="0" w:color="auto"/>
        <w:bottom w:val="none" w:sz="0" w:space="0" w:color="auto"/>
        <w:right w:val="none" w:sz="0" w:space="0" w:color="auto"/>
      </w:divBdr>
    </w:div>
    <w:div w:id="1122848999">
      <w:bodyDiv w:val="1"/>
      <w:marLeft w:val="0"/>
      <w:marRight w:val="0"/>
      <w:marTop w:val="0"/>
      <w:marBottom w:val="0"/>
      <w:divBdr>
        <w:top w:val="none" w:sz="0" w:space="0" w:color="auto"/>
        <w:left w:val="none" w:sz="0" w:space="0" w:color="auto"/>
        <w:bottom w:val="none" w:sz="0" w:space="0" w:color="auto"/>
        <w:right w:val="none" w:sz="0" w:space="0" w:color="auto"/>
      </w:divBdr>
    </w:div>
    <w:div w:id="1210534739">
      <w:bodyDiv w:val="1"/>
      <w:marLeft w:val="0"/>
      <w:marRight w:val="0"/>
      <w:marTop w:val="0"/>
      <w:marBottom w:val="0"/>
      <w:divBdr>
        <w:top w:val="none" w:sz="0" w:space="0" w:color="auto"/>
        <w:left w:val="none" w:sz="0" w:space="0" w:color="auto"/>
        <w:bottom w:val="none" w:sz="0" w:space="0" w:color="auto"/>
        <w:right w:val="none" w:sz="0" w:space="0" w:color="auto"/>
      </w:divBdr>
    </w:div>
    <w:div w:id="1279290460">
      <w:bodyDiv w:val="1"/>
      <w:marLeft w:val="0"/>
      <w:marRight w:val="0"/>
      <w:marTop w:val="0"/>
      <w:marBottom w:val="0"/>
      <w:divBdr>
        <w:top w:val="none" w:sz="0" w:space="0" w:color="auto"/>
        <w:left w:val="none" w:sz="0" w:space="0" w:color="auto"/>
        <w:bottom w:val="none" w:sz="0" w:space="0" w:color="auto"/>
        <w:right w:val="none" w:sz="0" w:space="0" w:color="auto"/>
      </w:divBdr>
    </w:div>
    <w:div w:id="1375740557">
      <w:bodyDiv w:val="1"/>
      <w:marLeft w:val="0"/>
      <w:marRight w:val="0"/>
      <w:marTop w:val="0"/>
      <w:marBottom w:val="0"/>
      <w:divBdr>
        <w:top w:val="none" w:sz="0" w:space="0" w:color="auto"/>
        <w:left w:val="none" w:sz="0" w:space="0" w:color="auto"/>
        <w:bottom w:val="none" w:sz="0" w:space="0" w:color="auto"/>
        <w:right w:val="none" w:sz="0" w:space="0" w:color="auto"/>
      </w:divBdr>
    </w:div>
    <w:div w:id="1620843281">
      <w:bodyDiv w:val="1"/>
      <w:marLeft w:val="0"/>
      <w:marRight w:val="0"/>
      <w:marTop w:val="0"/>
      <w:marBottom w:val="0"/>
      <w:divBdr>
        <w:top w:val="none" w:sz="0" w:space="0" w:color="auto"/>
        <w:left w:val="none" w:sz="0" w:space="0" w:color="auto"/>
        <w:bottom w:val="none" w:sz="0" w:space="0" w:color="auto"/>
        <w:right w:val="none" w:sz="0" w:space="0" w:color="auto"/>
      </w:divBdr>
    </w:div>
    <w:div w:id="1635214436">
      <w:bodyDiv w:val="1"/>
      <w:marLeft w:val="0"/>
      <w:marRight w:val="0"/>
      <w:marTop w:val="0"/>
      <w:marBottom w:val="0"/>
      <w:divBdr>
        <w:top w:val="none" w:sz="0" w:space="0" w:color="auto"/>
        <w:left w:val="none" w:sz="0" w:space="0" w:color="auto"/>
        <w:bottom w:val="none" w:sz="0" w:space="0" w:color="auto"/>
        <w:right w:val="none" w:sz="0" w:space="0" w:color="auto"/>
      </w:divBdr>
    </w:div>
    <w:div w:id="1793861403">
      <w:bodyDiv w:val="1"/>
      <w:marLeft w:val="0"/>
      <w:marRight w:val="0"/>
      <w:marTop w:val="0"/>
      <w:marBottom w:val="0"/>
      <w:divBdr>
        <w:top w:val="none" w:sz="0" w:space="0" w:color="auto"/>
        <w:left w:val="none" w:sz="0" w:space="0" w:color="auto"/>
        <w:bottom w:val="none" w:sz="0" w:space="0" w:color="auto"/>
        <w:right w:val="none" w:sz="0" w:space="0" w:color="auto"/>
      </w:divBdr>
    </w:div>
    <w:div w:id="1843814149">
      <w:bodyDiv w:val="1"/>
      <w:marLeft w:val="0"/>
      <w:marRight w:val="0"/>
      <w:marTop w:val="0"/>
      <w:marBottom w:val="0"/>
      <w:divBdr>
        <w:top w:val="none" w:sz="0" w:space="0" w:color="auto"/>
        <w:left w:val="none" w:sz="0" w:space="0" w:color="auto"/>
        <w:bottom w:val="none" w:sz="0" w:space="0" w:color="auto"/>
        <w:right w:val="none" w:sz="0" w:space="0" w:color="auto"/>
      </w:divBdr>
    </w:div>
    <w:div w:id="186647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kadina\Documents\FINNOD1\BUD&#381;ETI\BUDZETS%202018\APSTIPRIN&#256;&#352;ANAI\FINAN&#352;U%20KOMITEJA\Tabulas.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kadina\Documents\FINNOD1\BUD&#381;ETI\BUDZETS%202018\APSTIPRIN&#256;&#352;ANAI\FINAN&#352;U%20KOMITEJA\Tabulas.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kadina\Documents\FINNOD1\BUD&#381;ETI\BUDZETS%202018\APSTIPRIN&#256;&#352;ANAI\FINAN&#352;U%20KOMITEJA\Tabulas.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baseline="0">
                <a:solidFill>
                  <a:schemeClr val="accent3">
                    <a:lumMod val="50000"/>
                  </a:schemeClr>
                </a:solidFill>
                <a:latin typeface="+mn-lt"/>
                <a:ea typeface="+mn-ea"/>
                <a:cs typeface="+mn-cs"/>
              </a:defRPr>
            </a:pPr>
            <a:r>
              <a:rPr lang="en-US">
                <a:solidFill>
                  <a:schemeClr val="accent3">
                    <a:lumMod val="50000"/>
                  </a:schemeClr>
                </a:solidFill>
              </a:rPr>
              <a:t>PAMATBUDŽETA IEŅĒMUMU STRUKTŪRA</a:t>
            </a:r>
            <a:endParaRPr lang="lv-LV">
              <a:solidFill>
                <a:schemeClr val="accent3">
                  <a:lumMod val="50000"/>
                </a:schemeClr>
              </a:solidFill>
            </a:endParaRPr>
          </a:p>
        </c:rich>
      </c:tx>
      <c:layout>
        <c:manualLayout>
          <c:xMode val="edge"/>
          <c:yMode val="edge"/>
          <c:x val="2.076023391812867E-2"/>
          <c:y val="8.3194675540765387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accent3">
                  <a:lumMod val="50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921014259182535E-2"/>
          <c:y val="9.7285364287866674E-2"/>
          <c:w val="0.76750551585936089"/>
          <c:h val="0.90271452775492611"/>
        </c:manualLayout>
      </c:layout>
      <c:pie3DChart>
        <c:varyColors val="1"/>
        <c:ser>
          <c:idx val="0"/>
          <c:order val="0"/>
          <c:dPt>
            <c:idx val="0"/>
            <c:bubble3D val="0"/>
            <c:spPr>
              <a:solidFill>
                <a:schemeClr val="accent3">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E84-4441-AF79-723C4A021A83}"/>
              </c:ext>
            </c:extLst>
          </c:dPt>
          <c:dPt>
            <c:idx val="1"/>
            <c:bubble3D val="0"/>
            <c:spPr>
              <a:solidFill>
                <a:schemeClr val="accent3">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E84-4441-AF79-723C4A021A83}"/>
              </c:ext>
            </c:extLst>
          </c:dPt>
          <c:dPt>
            <c:idx val="2"/>
            <c:bubble3D val="0"/>
            <c:spPr>
              <a:solidFill>
                <a:schemeClr val="accent3">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AE84-4441-AF79-723C4A021A83}"/>
              </c:ext>
            </c:extLst>
          </c:dPt>
          <c:dPt>
            <c:idx val="3"/>
            <c:bubble3D val="0"/>
            <c:explosion val="4"/>
            <c:spPr>
              <a:solidFill>
                <a:schemeClr val="accent3">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AE84-4441-AF79-723C4A021A83}"/>
              </c:ext>
            </c:extLst>
          </c:dPt>
          <c:dPt>
            <c:idx val="4"/>
            <c:bubble3D val="0"/>
            <c:spPr>
              <a:solidFill>
                <a:schemeClr val="accent3">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AE84-4441-AF79-723C4A021A83}"/>
              </c:ext>
            </c:extLst>
          </c:dPt>
          <c:dPt>
            <c:idx val="5"/>
            <c:bubble3D val="0"/>
            <c:spPr>
              <a:solidFill>
                <a:schemeClr val="accent3">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AE84-4441-AF79-723C4A021A83}"/>
              </c:ext>
            </c:extLst>
          </c:dPt>
          <c:dLbls>
            <c:dLbl>
              <c:idx val="0"/>
              <c:spPr>
                <a:solidFill>
                  <a:sysClr val="window" lastClr="FFFFFF"/>
                </a:solidFill>
                <a:ln>
                  <a:solidFill>
                    <a:srgbClr val="9BBB59">
                      <a:shade val="50000"/>
                    </a:srgb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AE84-4441-AF79-723C4A021A83}"/>
                </c:ext>
                <c:ext xmlns:c15="http://schemas.microsoft.com/office/drawing/2012/chart" uri="{CE6537A1-D6FC-4f65-9D91-7224C49458BB}">
                  <c15:spPr xmlns:c15="http://schemas.microsoft.com/office/drawing/2012/chart">
                    <a:prstGeom prst="wedgeRoundRectCallout">
                      <a:avLst/>
                    </a:prstGeom>
                    <a:noFill/>
                    <a:ln>
                      <a:noFill/>
                    </a:ln>
                  </c15:spPr>
                </c:ext>
              </c:extLst>
            </c:dLbl>
            <c:dLbl>
              <c:idx val="1"/>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fld id="{9BED782A-B74A-486B-8D7C-BE15A70647DB}" type="CATEGORYNAME">
                      <a:rPr lang="en-US">
                        <a:solidFill>
                          <a:schemeClr val="accent3">
                            <a:lumMod val="50000"/>
                          </a:schemeClr>
                        </a:solidFill>
                      </a:rPr>
                      <a:pPr>
                        <a:defRPr>
                          <a:solidFill>
                            <a:schemeClr val="accent3">
                              <a:lumMod val="50000"/>
                            </a:schemeClr>
                          </a:solidFill>
                        </a:defRPr>
                      </a:pPr>
                      <a:t>[KATEGORIJAS NOSAUKUMS]</a:t>
                    </a:fld>
                    <a:r>
                      <a:rPr lang="en-US" baseline="0">
                        <a:solidFill>
                          <a:schemeClr val="accent3">
                            <a:lumMod val="50000"/>
                          </a:schemeClr>
                        </a:solidFill>
                      </a:rPr>
                      <a:t>; </a:t>
                    </a:r>
                  </a:p>
                  <a:p>
                    <a:pPr>
                      <a:defRPr>
                        <a:solidFill>
                          <a:schemeClr val="accent3">
                            <a:lumMod val="50000"/>
                          </a:schemeClr>
                        </a:solidFill>
                      </a:defRPr>
                    </a:pPr>
                    <a:fld id="{079F3ED5-DFB8-403A-B3A3-0104304F3674}" type="VALUE">
                      <a:rPr lang="en-US" baseline="0">
                        <a:solidFill>
                          <a:schemeClr val="accent3">
                            <a:lumMod val="50000"/>
                          </a:schemeClr>
                        </a:solidFill>
                      </a:rPr>
                      <a:pPr>
                        <a:defRPr>
                          <a:solidFill>
                            <a:schemeClr val="accent3">
                              <a:lumMod val="50000"/>
                            </a:schemeClr>
                          </a:solidFill>
                        </a:defRPr>
                      </a:pPr>
                      <a:t>[VĒRTĪBA]</a:t>
                    </a:fld>
                    <a:r>
                      <a:rPr lang="en-US" baseline="0">
                        <a:solidFill>
                          <a:schemeClr val="accent3">
                            <a:lumMod val="50000"/>
                          </a:schemeClr>
                        </a:solidFill>
                      </a:rPr>
                      <a:t>; </a:t>
                    </a:r>
                    <a:fld id="{024A156D-15B5-4C46-A73F-333603CB6370}" type="PERCENTAGE">
                      <a:rPr lang="en-US" baseline="0">
                        <a:solidFill>
                          <a:schemeClr val="accent3">
                            <a:lumMod val="50000"/>
                          </a:schemeClr>
                        </a:solidFill>
                      </a:rPr>
                      <a:pPr>
                        <a:defRPr>
                          <a:solidFill>
                            <a:schemeClr val="accent3">
                              <a:lumMod val="50000"/>
                            </a:schemeClr>
                          </a:solidFill>
                        </a:defRPr>
                      </a:pPr>
                      <a:t>[PROCENTI]</a:t>
                    </a:fld>
                    <a:endParaRPr lang="en-US" baseline="0">
                      <a:solidFill>
                        <a:schemeClr val="accent3">
                          <a:lumMod val="50000"/>
                        </a:schemeClr>
                      </a:solidFill>
                    </a:endParaRPr>
                  </a:p>
                </c:rich>
              </c:tx>
              <c:spPr>
                <a:solidFill>
                  <a:sysClr val="window" lastClr="FFFFFF"/>
                </a:solidFill>
                <a:ln>
                  <a:solidFill>
                    <a:srgbClr val="9BBB59">
                      <a:shade val="70000"/>
                    </a:srgb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AE84-4441-AF79-723C4A021A83}"/>
                </c:ext>
                <c:ext xmlns:c15="http://schemas.microsoft.com/office/drawing/2012/chart" uri="{CE6537A1-D6FC-4f65-9D91-7224C49458BB}">
                  <c15:spPr xmlns:c15="http://schemas.microsoft.com/office/drawing/2012/chart">
                    <a:prstGeom prst="wedgeRoundRectCallout">
                      <a:avLst/>
                    </a:prstGeom>
                    <a:noFill/>
                    <a:ln>
                      <a:noFill/>
                    </a:ln>
                  </c15:spPr>
                  <c15:dlblFieldTable/>
                  <c15:showDataLabelsRange val="0"/>
                </c:ext>
              </c:extLst>
            </c:dLbl>
            <c:dLbl>
              <c:idx val="2"/>
              <c:layout>
                <c:manualLayout>
                  <c:x val="-1.0320901761639703E-2"/>
                  <c:y val="0.12299271236068779"/>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fld id="{FB20318E-2CF6-48E0-8089-F04367EC5C25}" type="CATEGORYNAME">
                      <a:rPr lang="en-US">
                        <a:solidFill>
                          <a:schemeClr val="accent3">
                            <a:lumMod val="50000"/>
                          </a:schemeClr>
                        </a:solidFill>
                      </a:rPr>
                      <a:pPr>
                        <a:defRPr>
                          <a:solidFill>
                            <a:schemeClr val="accent3">
                              <a:lumMod val="50000"/>
                            </a:schemeClr>
                          </a:solidFill>
                        </a:defRPr>
                      </a:pPr>
                      <a:t>[KATEGORIJAS NOSAUKUMS]</a:t>
                    </a:fld>
                    <a:r>
                      <a:rPr lang="en-US" baseline="0">
                        <a:solidFill>
                          <a:schemeClr val="accent3">
                            <a:lumMod val="50000"/>
                          </a:schemeClr>
                        </a:solidFill>
                      </a:rPr>
                      <a:t>; </a:t>
                    </a:r>
                  </a:p>
                  <a:p>
                    <a:pPr>
                      <a:defRPr>
                        <a:solidFill>
                          <a:schemeClr val="accent3">
                            <a:lumMod val="50000"/>
                          </a:schemeClr>
                        </a:solidFill>
                      </a:defRPr>
                    </a:pPr>
                    <a:fld id="{BB4D077A-2B7B-4AAA-8C7C-A107AD78A29F}" type="VALUE">
                      <a:rPr lang="en-US" baseline="0">
                        <a:solidFill>
                          <a:schemeClr val="accent3">
                            <a:lumMod val="50000"/>
                          </a:schemeClr>
                        </a:solidFill>
                      </a:rPr>
                      <a:pPr>
                        <a:defRPr>
                          <a:solidFill>
                            <a:schemeClr val="accent3">
                              <a:lumMod val="50000"/>
                            </a:schemeClr>
                          </a:solidFill>
                        </a:defRPr>
                      </a:pPr>
                      <a:t>[VĒRTĪBA]</a:t>
                    </a:fld>
                    <a:r>
                      <a:rPr lang="en-US" baseline="0">
                        <a:solidFill>
                          <a:schemeClr val="accent3">
                            <a:lumMod val="50000"/>
                          </a:schemeClr>
                        </a:solidFill>
                      </a:rPr>
                      <a:t>; </a:t>
                    </a:r>
                    <a:fld id="{D6327B3B-6A30-4E55-8D3E-A3687F2727CA}" type="PERCENTAGE">
                      <a:rPr lang="en-US" baseline="0">
                        <a:solidFill>
                          <a:schemeClr val="accent3">
                            <a:lumMod val="50000"/>
                          </a:schemeClr>
                        </a:solidFill>
                      </a:rPr>
                      <a:pPr>
                        <a:defRPr>
                          <a:solidFill>
                            <a:schemeClr val="accent3">
                              <a:lumMod val="50000"/>
                            </a:schemeClr>
                          </a:solidFill>
                        </a:defRPr>
                      </a:pPr>
                      <a:t>[PROCENTI]</a:t>
                    </a:fld>
                    <a:endParaRPr lang="en-US" baseline="0">
                      <a:solidFill>
                        <a:schemeClr val="accent3">
                          <a:lumMod val="50000"/>
                        </a:schemeClr>
                      </a:solidFill>
                    </a:endParaRPr>
                  </a:p>
                </c:rich>
              </c:tx>
              <c:spPr>
                <a:solidFill>
                  <a:sysClr val="window" lastClr="FFFFFF"/>
                </a:solidFill>
                <a:ln>
                  <a:solidFill>
                    <a:srgbClr val="9BBB59">
                      <a:shade val="90000"/>
                    </a:srgb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AE84-4441-AF79-723C4A021A83}"/>
                </c:ext>
                <c:ext xmlns:c15="http://schemas.microsoft.com/office/drawing/2012/chart" uri="{CE6537A1-D6FC-4f65-9D91-7224C49458BB}">
                  <c15:spPr xmlns:c15="http://schemas.microsoft.com/office/drawing/2012/chart">
                    <a:prstGeom prst="wedgeRoundRectCallout">
                      <a:avLst/>
                    </a:prstGeom>
                    <a:noFill/>
                    <a:ln>
                      <a:noFill/>
                    </a:ln>
                  </c15:spPr>
                  <c15:layout>
                    <c:manualLayout>
                      <c:w val="0.32964839791065725"/>
                      <c:h val="0.14329739865566829"/>
                    </c:manualLayout>
                  </c15:layout>
                  <c15:dlblFieldTable/>
                  <c15:showDataLabelsRange val="0"/>
                </c:ext>
              </c:extLst>
            </c:dLbl>
            <c:dLbl>
              <c:idx val="3"/>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fld id="{1F748E70-78CA-4504-AF0C-34D1B4056CCD}" type="CATEGORYNAME">
                      <a:rPr lang="en-US">
                        <a:solidFill>
                          <a:schemeClr val="accent3">
                            <a:lumMod val="50000"/>
                          </a:schemeClr>
                        </a:solidFill>
                      </a:rPr>
                      <a:pPr>
                        <a:defRPr>
                          <a:solidFill>
                            <a:schemeClr val="accent3">
                              <a:lumMod val="50000"/>
                            </a:schemeClr>
                          </a:solidFill>
                        </a:defRPr>
                      </a:pPr>
                      <a:t>[KATEGORIJAS NOSAUKUMS]</a:t>
                    </a:fld>
                    <a:r>
                      <a:rPr lang="en-US" baseline="0">
                        <a:solidFill>
                          <a:schemeClr val="accent3">
                            <a:lumMod val="50000"/>
                          </a:schemeClr>
                        </a:solidFill>
                      </a:rPr>
                      <a:t>; </a:t>
                    </a:r>
                  </a:p>
                  <a:p>
                    <a:pPr>
                      <a:defRPr>
                        <a:solidFill>
                          <a:schemeClr val="accent3">
                            <a:lumMod val="50000"/>
                          </a:schemeClr>
                        </a:solidFill>
                      </a:defRPr>
                    </a:pPr>
                    <a:fld id="{4B726035-B58D-4AA5-B0E0-564E5146041D}" type="VALUE">
                      <a:rPr lang="en-US" baseline="0">
                        <a:solidFill>
                          <a:schemeClr val="accent3">
                            <a:lumMod val="50000"/>
                          </a:schemeClr>
                        </a:solidFill>
                      </a:rPr>
                      <a:pPr>
                        <a:defRPr>
                          <a:solidFill>
                            <a:schemeClr val="accent3">
                              <a:lumMod val="50000"/>
                            </a:schemeClr>
                          </a:solidFill>
                        </a:defRPr>
                      </a:pPr>
                      <a:t>[VĒRTĪBA]</a:t>
                    </a:fld>
                    <a:r>
                      <a:rPr lang="en-US" baseline="0">
                        <a:solidFill>
                          <a:schemeClr val="accent3">
                            <a:lumMod val="50000"/>
                          </a:schemeClr>
                        </a:solidFill>
                      </a:rPr>
                      <a:t>; </a:t>
                    </a:r>
                    <a:fld id="{5EA41019-9ED2-4D85-B783-9404E26652D3}" type="PERCENTAGE">
                      <a:rPr lang="en-US" baseline="0">
                        <a:solidFill>
                          <a:schemeClr val="accent3">
                            <a:lumMod val="50000"/>
                          </a:schemeClr>
                        </a:solidFill>
                      </a:rPr>
                      <a:pPr>
                        <a:defRPr>
                          <a:solidFill>
                            <a:schemeClr val="accent3">
                              <a:lumMod val="50000"/>
                            </a:schemeClr>
                          </a:solidFill>
                        </a:defRPr>
                      </a:pPr>
                      <a:t>[PROCENTI]</a:t>
                    </a:fld>
                    <a:endParaRPr lang="en-US" baseline="0">
                      <a:solidFill>
                        <a:schemeClr val="accent3">
                          <a:lumMod val="50000"/>
                        </a:schemeClr>
                      </a:solidFill>
                    </a:endParaRPr>
                  </a:p>
                </c:rich>
              </c:tx>
              <c:spPr>
                <a:solidFill>
                  <a:sysClr val="window" lastClr="FFFFFF"/>
                </a:solidFill>
                <a:ln>
                  <a:solidFill>
                    <a:srgbClr val="9BBB59">
                      <a:tint val="90000"/>
                    </a:srgb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out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AE84-4441-AF79-723C4A021A83}"/>
                </c:ext>
                <c:ext xmlns:c15="http://schemas.microsoft.com/office/drawing/2012/chart" uri="{CE6537A1-D6FC-4f65-9D91-7224C49458BB}">
                  <c15:spPr xmlns:c15="http://schemas.microsoft.com/office/drawing/2012/chart">
                    <a:prstGeom prst="wedgeRoundRectCallout">
                      <a:avLst/>
                    </a:prstGeom>
                    <a:noFill/>
                    <a:ln>
                      <a:noFill/>
                    </a:ln>
                  </c15:spPr>
                  <c15:dlblFieldTable/>
                  <c15:showDataLabelsRange val="0"/>
                </c:ext>
              </c:extLst>
            </c:dLbl>
            <c:dLbl>
              <c:idx val="4"/>
              <c:layout>
                <c:manualLayout>
                  <c:x val="-0.12098148713842953"/>
                  <c:y val="4.4580601592995525E-2"/>
                </c:manualLayout>
              </c:layout>
              <c:spPr>
                <a:solidFill>
                  <a:sysClr val="window" lastClr="FFFFFF"/>
                </a:solidFill>
                <a:ln>
                  <a:solidFill>
                    <a:srgbClr val="9BBB59">
                      <a:tint val="70000"/>
                    </a:srgb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AE84-4441-AF79-723C4A021A83}"/>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6957181735007602"/>
                      <c:h val="0.13240303437058223"/>
                    </c:manualLayout>
                  </c15:layout>
                </c:ext>
              </c:extLst>
            </c:dLbl>
            <c:dLbl>
              <c:idx val="5"/>
              <c:layout>
                <c:manualLayout>
                  <c:x val="0.28042023803106253"/>
                  <c:y val="-4.4216953181209703E-3"/>
                </c:manualLayout>
              </c:layout>
              <c:spPr>
                <a:solidFill>
                  <a:sysClr val="window" lastClr="FFFFFF"/>
                </a:solidFill>
                <a:ln>
                  <a:solidFill>
                    <a:srgbClr val="9BBB59">
                      <a:tint val="50000"/>
                    </a:srgb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AE84-4441-AF79-723C4A021A83}"/>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8436980543017643"/>
                      <c:h val="0.15064902948326214"/>
                    </c:manualLayout>
                  </c15:layout>
                </c:ext>
              </c:extLst>
            </c:dLbl>
            <c:spPr>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lumMod val="50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ext>
            </c:extLst>
          </c:dLbls>
          <c:cat>
            <c:strRef>
              <c:f>ien!$A$3:$A$8</c:f>
              <c:strCache>
                <c:ptCount val="6"/>
                <c:pt idx="0">
                  <c:v>IENĀKUMA NODOKĻI</c:v>
                </c:pt>
                <c:pt idx="1">
                  <c:v>ĪPAŠUMA NODOKĻI</c:v>
                </c:pt>
                <c:pt idx="2">
                  <c:v>NENODOKĻU IEŅĒMUMI</c:v>
                </c:pt>
                <c:pt idx="3">
                  <c:v>VALSTS BUDŽETA TRANSFERTI</c:v>
                </c:pt>
                <c:pt idx="4">
                  <c:v>PAŠVALDĪBU BUDŽETU TRANSFERTI</c:v>
                </c:pt>
                <c:pt idx="5">
                  <c:v>MAKSAS PAKALPOJUMI UN CITI PAŠU IEŅĒMUMI</c:v>
                </c:pt>
              </c:strCache>
            </c:strRef>
          </c:cat>
          <c:val>
            <c:numRef>
              <c:f>ien!$B$3:$B$8</c:f>
              <c:numCache>
                <c:formatCode>#,##0</c:formatCode>
                <c:ptCount val="6"/>
                <c:pt idx="0">
                  <c:v>2335908</c:v>
                </c:pt>
                <c:pt idx="1">
                  <c:v>488748</c:v>
                </c:pt>
                <c:pt idx="2">
                  <c:v>111923</c:v>
                </c:pt>
                <c:pt idx="3">
                  <c:v>4389665</c:v>
                </c:pt>
                <c:pt idx="4">
                  <c:v>92000</c:v>
                </c:pt>
                <c:pt idx="5">
                  <c:v>259127</c:v>
                </c:pt>
              </c:numCache>
            </c:numRef>
          </c:val>
          <c:extLst xmlns:c16r2="http://schemas.microsoft.com/office/drawing/2015/06/chart">
            <c:ext xmlns:c16="http://schemas.microsoft.com/office/drawing/2014/chart" uri="{C3380CC4-5D6E-409C-BE32-E72D297353CC}">
              <c16:uniqueId val="{0000000C-AE84-4441-AF79-723C4A021A8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baseline="0">
                <a:solidFill>
                  <a:schemeClr val="accent3">
                    <a:lumMod val="50000"/>
                  </a:schemeClr>
                </a:solidFill>
                <a:latin typeface="+mn-lt"/>
                <a:ea typeface="+mn-ea"/>
                <a:cs typeface="+mn-cs"/>
              </a:defRPr>
            </a:pPr>
            <a:r>
              <a:rPr lang="lv-LV">
                <a:solidFill>
                  <a:schemeClr val="accent3">
                    <a:lumMod val="50000"/>
                  </a:schemeClr>
                </a:solidFill>
              </a:rPr>
              <a:t>PAMATBUDŽETA IZDEVUMU STRUKTŪRA PĒC FUNKCIONĀLAJĀM KATEGORIJĀM</a:t>
            </a:r>
          </a:p>
        </c:rich>
      </c:tx>
      <c:layout>
        <c:manualLayout>
          <c:xMode val="edge"/>
          <c:yMode val="edge"/>
          <c:x val="0.16041653329919123"/>
          <c:y val="6.3979526551503517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accent3">
                  <a:lumMod val="50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3">
                  <a:shade val="4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B637-4F3C-83A8-8D7CBFD50A54}"/>
              </c:ext>
            </c:extLst>
          </c:dPt>
          <c:dPt>
            <c:idx val="1"/>
            <c:bubble3D val="0"/>
            <c:spPr>
              <a:solidFill>
                <a:schemeClr val="accent3">
                  <a:shade val="61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B637-4F3C-83A8-8D7CBFD50A54}"/>
              </c:ext>
            </c:extLst>
          </c:dPt>
          <c:dPt>
            <c:idx val="2"/>
            <c:bubble3D val="0"/>
            <c:spPr>
              <a:solidFill>
                <a:schemeClr val="accent3">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B637-4F3C-83A8-8D7CBFD50A54}"/>
              </c:ext>
            </c:extLst>
          </c:dPt>
          <c:dPt>
            <c:idx val="3"/>
            <c:bubble3D val="0"/>
            <c:spPr>
              <a:solidFill>
                <a:schemeClr val="accent3">
                  <a:shade val="9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B637-4F3C-83A8-8D7CBFD50A54}"/>
              </c:ext>
            </c:extLst>
          </c:dPt>
          <c:dPt>
            <c:idx val="4"/>
            <c:bubble3D val="0"/>
            <c:spPr>
              <a:solidFill>
                <a:schemeClr val="accent3">
                  <a:tint val="9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B637-4F3C-83A8-8D7CBFD50A54}"/>
              </c:ext>
            </c:extLst>
          </c:dPt>
          <c:dPt>
            <c:idx val="5"/>
            <c:bubble3D val="0"/>
            <c:spPr>
              <a:solidFill>
                <a:schemeClr val="accent3">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B637-4F3C-83A8-8D7CBFD50A54}"/>
              </c:ext>
            </c:extLst>
          </c:dPt>
          <c:dPt>
            <c:idx val="6"/>
            <c:bubble3D val="0"/>
            <c:spPr>
              <a:solidFill>
                <a:schemeClr val="accent3">
                  <a:tint val="6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B637-4F3C-83A8-8D7CBFD50A54}"/>
              </c:ext>
            </c:extLst>
          </c:dPt>
          <c:dPt>
            <c:idx val="7"/>
            <c:bubble3D val="0"/>
            <c:spPr>
              <a:solidFill>
                <a:schemeClr val="accent3">
                  <a:tint val="4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B637-4F3C-83A8-8D7CBFD50A54}"/>
              </c:ext>
            </c:extLst>
          </c:dPt>
          <c:dLbls>
            <c:dLbl>
              <c:idx val="0"/>
              <c:layout>
                <c:manualLayout>
                  <c:x val="6.3549912686616902E-2"/>
                  <c:y val="2.9133858267716535E-2"/>
                </c:manualLayout>
              </c:layout>
              <c:spPr>
                <a:solidFill>
                  <a:sysClr val="window" lastClr="FFFFFF"/>
                </a:solidFill>
                <a:ln>
                  <a:solidFill>
                    <a:srgbClr val="9BBB59">
                      <a:shade val="45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B637-4F3C-83A8-8D7CBFD50A54}"/>
                </c:ext>
                <c:ext xmlns:c15="http://schemas.microsoft.com/office/drawing/2012/chart" uri="{CE6537A1-D6FC-4f65-9D91-7224C49458BB}">
                  <c15:spPr xmlns:c15="http://schemas.microsoft.com/office/drawing/2012/chart">
                    <a:prstGeom prst="wedgeRoundRectCallout">
                      <a:avLst/>
                    </a:prstGeom>
                    <a:noFill/>
                    <a:ln>
                      <a:noFill/>
                    </a:ln>
                  </c15:spPr>
                  <c15:layout>
                    <c:manualLayout>
                      <c:w val="0.32090409149522064"/>
                      <c:h val="0.14240099723146407"/>
                    </c:manualLayout>
                  </c15:layout>
                </c:ext>
              </c:extLst>
            </c:dLbl>
            <c:dLbl>
              <c:idx val="1"/>
              <c:layout>
                <c:manualLayout>
                  <c:x val="-2.0406911987407197E-2"/>
                  <c:y val="3.1179529525101498E-2"/>
                </c:manualLayout>
              </c:layout>
              <c:spPr>
                <a:solidFill>
                  <a:sysClr val="window" lastClr="FFFFFF"/>
                </a:solidFill>
                <a:ln>
                  <a:solidFill>
                    <a:srgbClr val="9BBB59">
                      <a:shade val="61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B637-4F3C-83A8-8D7CBFD50A54}"/>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5761664330111345"/>
                      <c:h val="0.16223962173267667"/>
                    </c:manualLayout>
                  </c15:layout>
                </c:ext>
              </c:extLst>
            </c:dLbl>
            <c:dLbl>
              <c:idx val="2"/>
              <c:delete val="1"/>
              <c:extLst xmlns:c16r2="http://schemas.microsoft.com/office/drawing/2015/06/chart">
                <c:ext xmlns:c16="http://schemas.microsoft.com/office/drawing/2014/chart" uri="{C3380CC4-5D6E-409C-BE32-E72D297353CC}">
                  <c16:uniqueId val="{00000005-B637-4F3C-83A8-8D7CBFD50A54}"/>
                </c:ext>
                <c:ext xmlns:c15="http://schemas.microsoft.com/office/drawing/2012/chart" uri="{CE6537A1-D6FC-4f65-9D91-7224C49458BB}">
                  <c15:spPr xmlns:c15="http://schemas.microsoft.com/office/drawing/2012/chart">
                    <a:prstGeom prst="wedgeRoundRectCallout">
                      <a:avLst/>
                    </a:prstGeom>
                    <a:noFill/>
                    <a:ln>
                      <a:noFill/>
                    </a:ln>
                  </c15:spPr>
                </c:ext>
              </c:extLst>
            </c:dLbl>
            <c:dLbl>
              <c:idx val="3"/>
              <c:layout>
                <c:manualLayout>
                  <c:x val="0.12271307452030343"/>
                  <c:y val="-3.1210986267166041E-3"/>
                </c:manualLayout>
              </c:layout>
              <c:spPr>
                <a:solidFill>
                  <a:sysClr val="window" lastClr="FFFFFF"/>
                </a:solidFill>
                <a:ln>
                  <a:solidFill>
                    <a:srgbClr val="9BBB59">
                      <a:shade val="92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B637-4F3C-83A8-8D7CBFD50A54}"/>
                </c:ext>
                <c:ext xmlns:c15="http://schemas.microsoft.com/office/drawing/2012/chart" uri="{CE6537A1-D6FC-4f65-9D91-7224C49458BB}">
                  <c15:spPr xmlns:c15="http://schemas.microsoft.com/office/drawing/2012/chart">
                    <a:prstGeom prst="wedgeRoundRectCallout">
                      <a:avLst/>
                    </a:prstGeom>
                    <a:noFill/>
                    <a:ln>
                      <a:noFill/>
                    </a:ln>
                  </c15:spPr>
                </c:ext>
              </c:extLst>
            </c:dLbl>
            <c:dLbl>
              <c:idx val="4"/>
              <c:layout>
                <c:manualLayout>
                  <c:x val="0.18606947153571712"/>
                  <c:y val="6.3979156266856753E-3"/>
                </c:manualLayout>
              </c:layout>
              <c:spPr>
                <a:solidFill>
                  <a:sysClr val="window" lastClr="FFFFFF"/>
                </a:solidFill>
                <a:ln>
                  <a:solidFill>
                    <a:srgbClr val="9BBB59">
                      <a:tint val="93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B637-4F3C-83A8-8D7CBFD50A54}"/>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8708552495195128"/>
                      <c:h val="0.10235507780628544"/>
                    </c:manualLayout>
                  </c15:layout>
                </c:ext>
              </c:extLst>
            </c:dLbl>
            <c:dLbl>
              <c:idx val="5"/>
              <c:layout>
                <c:manualLayout>
                  <c:x val="-1.714118064559198E-3"/>
                  <c:y val="-9.3631730022511236E-3"/>
                </c:manualLayout>
              </c:layout>
              <c:spPr>
                <a:solidFill>
                  <a:sysClr val="window" lastClr="FFFFFF"/>
                </a:solidFill>
                <a:ln>
                  <a:solidFill>
                    <a:srgbClr val="9BBB59">
                      <a:tint val="77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B637-4F3C-83A8-8D7CBFD50A54}"/>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7397449302577015"/>
                      <c:h val="0.14817204951108559"/>
                    </c:manualLayout>
                  </c15:layout>
                </c:ext>
              </c:extLst>
            </c:dLbl>
            <c:dLbl>
              <c:idx val="6"/>
              <c:layout>
                <c:manualLayout>
                  <c:x val="5.7819203322476221E-3"/>
                  <c:y val="-4.4551839727899181E-2"/>
                </c:manualLayout>
              </c:layout>
              <c:spPr>
                <a:solidFill>
                  <a:sysClr val="window" lastClr="FFFFFF"/>
                </a:solidFill>
                <a:ln>
                  <a:solidFill>
                    <a:srgbClr val="9BBB59">
                      <a:tint val="62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B637-4F3C-83A8-8D7CBFD50A54}"/>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9282624812460689"/>
                      <c:h val="0.15353888348226136"/>
                    </c:manualLayout>
                  </c15:layout>
                </c:ext>
              </c:extLst>
            </c:dLbl>
            <c:dLbl>
              <c:idx val="7"/>
              <c:layout>
                <c:manualLayout>
                  <c:x val="-0.17445310551040558"/>
                  <c:y val="1.6384170377579207E-2"/>
                </c:manualLayout>
              </c:layout>
              <c:spPr>
                <a:solidFill>
                  <a:sysClr val="window" lastClr="FFFFFF"/>
                </a:solidFill>
                <a:ln>
                  <a:solidFill>
                    <a:srgbClr val="9BBB59">
                      <a:tint val="46000"/>
                    </a:srgb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B637-4F3C-83A8-8D7CBFD50A54}"/>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5639039060028723"/>
                      <c:h val="0.14934252031973352"/>
                    </c:manualLayout>
                  </c15:layout>
                </c:ext>
              </c:extLst>
            </c:dLbl>
            <c:spPr>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outEnd"/>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ext>
            </c:extLst>
          </c:dLbls>
          <c:cat>
            <c:strRef>
              <c:f>izdFKat!$A$3:$A$10</c:f>
              <c:strCache>
                <c:ptCount val="8"/>
                <c:pt idx="0">
                  <c:v>Vispārējie valdības dienesti</c:v>
                </c:pt>
                <c:pt idx="1">
                  <c:v>Ekonomiskā darbība</c:v>
                </c:pt>
                <c:pt idx="2">
                  <c:v>Vides aizsardzība</c:v>
                </c:pt>
                <c:pt idx="3">
                  <c:v>Teritoriju un mājokļu apsaimniekošana</c:v>
                </c:pt>
                <c:pt idx="4">
                  <c:v>Veselība</c:v>
                </c:pt>
                <c:pt idx="5">
                  <c:v>Atpūta, kultūras un reliģija</c:v>
                </c:pt>
                <c:pt idx="6">
                  <c:v>Izglītība</c:v>
                </c:pt>
                <c:pt idx="7">
                  <c:v>Sociālā aizsardzība</c:v>
                </c:pt>
              </c:strCache>
            </c:strRef>
          </c:cat>
          <c:val>
            <c:numRef>
              <c:f>izdFKat!$B$3:$B$10</c:f>
              <c:numCache>
                <c:formatCode>#,##0</c:formatCode>
                <c:ptCount val="8"/>
                <c:pt idx="0">
                  <c:v>894337</c:v>
                </c:pt>
                <c:pt idx="1">
                  <c:v>2172048</c:v>
                </c:pt>
                <c:pt idx="2">
                  <c:v>0</c:v>
                </c:pt>
                <c:pt idx="3">
                  <c:v>1581289</c:v>
                </c:pt>
                <c:pt idx="4">
                  <c:v>73022</c:v>
                </c:pt>
                <c:pt idx="5">
                  <c:v>644643</c:v>
                </c:pt>
                <c:pt idx="6">
                  <c:v>2894624</c:v>
                </c:pt>
                <c:pt idx="7">
                  <c:v>455966</c:v>
                </c:pt>
              </c:numCache>
            </c:numRef>
          </c:val>
          <c:extLst xmlns:c16r2="http://schemas.microsoft.com/office/drawing/2015/06/chart">
            <c:ext xmlns:c16="http://schemas.microsoft.com/office/drawing/2014/chart" uri="{C3380CC4-5D6E-409C-BE32-E72D297353CC}">
              <c16:uniqueId val="{00000010-B637-4F3C-83A8-8D7CBFD50A54}"/>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baseline="0">
                <a:solidFill>
                  <a:schemeClr val="accent3">
                    <a:lumMod val="50000"/>
                  </a:schemeClr>
                </a:solidFill>
                <a:latin typeface="+mn-lt"/>
                <a:ea typeface="+mn-ea"/>
                <a:cs typeface="+mn-cs"/>
              </a:defRPr>
            </a:pPr>
            <a:r>
              <a:rPr lang="lv-LV">
                <a:solidFill>
                  <a:schemeClr val="accent3">
                    <a:lumMod val="50000"/>
                  </a:schemeClr>
                </a:solidFill>
              </a:rPr>
              <a:t>PAMATBUDŽETA IZDEVUMU STRUKTŪRA PĒC EKONOMISKAJĀM KATEGORIJĀM</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accent3">
                  <a:lumMod val="50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036732591825474"/>
          <c:y val="0.27100975099134217"/>
          <c:w val="0.73757493770709237"/>
          <c:h val="0.58048125860495337"/>
        </c:manualLayout>
      </c:layout>
      <c:pie3DChart>
        <c:varyColors val="1"/>
        <c:ser>
          <c:idx val="0"/>
          <c:order val="0"/>
          <c:dPt>
            <c:idx val="0"/>
            <c:bubble3D val="0"/>
            <c:spPr>
              <a:solidFill>
                <a:schemeClr val="accent3">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8A6-4245-B988-624ACFF58CEC}"/>
              </c:ext>
            </c:extLst>
          </c:dPt>
          <c:dPt>
            <c:idx val="1"/>
            <c:bubble3D val="0"/>
            <c:spPr>
              <a:solidFill>
                <a:schemeClr val="accent3">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8A6-4245-B988-624ACFF58CEC}"/>
              </c:ext>
            </c:extLst>
          </c:dPt>
          <c:dPt>
            <c:idx val="2"/>
            <c:bubble3D val="0"/>
            <c:spPr>
              <a:solidFill>
                <a:schemeClr val="accent3">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8A6-4245-B988-624ACFF58CEC}"/>
              </c:ext>
            </c:extLst>
          </c:dPt>
          <c:dPt>
            <c:idx val="3"/>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28A6-4245-B988-624ACFF58CEC}"/>
              </c:ext>
            </c:extLst>
          </c:dPt>
          <c:dPt>
            <c:idx val="4"/>
            <c:bubble3D val="0"/>
            <c:spPr>
              <a:solidFill>
                <a:schemeClr val="accent3">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28A6-4245-B988-624ACFF58CEC}"/>
              </c:ext>
            </c:extLst>
          </c:dPt>
          <c:dPt>
            <c:idx val="5"/>
            <c:bubble3D val="0"/>
            <c:spPr>
              <a:solidFill>
                <a:schemeClr val="accent3">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28A6-4245-B988-624ACFF58CEC}"/>
              </c:ext>
            </c:extLst>
          </c:dPt>
          <c:dPt>
            <c:idx val="6"/>
            <c:bubble3D val="0"/>
            <c:spPr>
              <a:solidFill>
                <a:schemeClr val="accent3">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28A6-4245-B988-624ACFF58CEC}"/>
              </c:ext>
            </c:extLst>
          </c:dPt>
          <c:dLbls>
            <c:dLbl>
              <c:idx val="0"/>
              <c:layout>
                <c:manualLayout>
                  <c:x val="-8.4361488980282048E-3"/>
                  <c:y val="0.46279512912448445"/>
                </c:manualLayout>
              </c:layout>
              <c:spPr>
                <a:solidFill>
                  <a:sysClr val="window" lastClr="FFFFFF"/>
                </a:solidFill>
                <a:ln>
                  <a:solidFill>
                    <a:srgbClr val="9BBB59">
                      <a:shade val="47000"/>
                    </a:srgb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2914589804714777"/>
                      <c:h val="0.16604090268858238"/>
                    </c:manualLayout>
                  </c15:layout>
                </c:ext>
              </c:extLst>
            </c:dLbl>
            <c:dLbl>
              <c:idx val="1"/>
              <c:layout>
                <c:manualLayout>
                  <c:x val="0.1851006653049114"/>
                  <c:y val="2.4075979870723357E-8"/>
                </c:manualLayout>
              </c:layout>
              <c:spPr>
                <a:solidFill>
                  <a:sysClr val="window" lastClr="FFFFFF"/>
                </a:solidFill>
                <a:ln>
                  <a:solidFill>
                    <a:srgbClr val="9BBB59">
                      <a:shade val="65000"/>
                    </a:srgb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7071588587282558"/>
                      <c:h val="0.19002753585074947"/>
                    </c:manualLayout>
                  </c15:layout>
                </c:ext>
              </c:extLst>
            </c:dLbl>
            <c:dLbl>
              <c:idx val="2"/>
              <c:layout>
                <c:manualLayout>
                  <c:x val="-5.0859606082959502E-2"/>
                  <c:y val="7.2145089182123354E-2"/>
                </c:manualLayout>
              </c:layout>
              <c:spPr>
                <a:solidFill>
                  <a:sysClr val="window" lastClr="FFFFFF"/>
                </a:solidFill>
                <a:ln>
                  <a:solidFill>
                    <a:srgbClr val="9BBB59">
                      <a:shade val="82000"/>
                    </a:srgb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3351725134326573"/>
                      <c:h val="0.19002748769878944"/>
                    </c:manualLayout>
                  </c15:layout>
                </c:ext>
              </c:extLst>
            </c:dLbl>
            <c:dLbl>
              <c:idx val="3"/>
              <c:layout>
                <c:manualLayout>
                  <c:x val="-5.4920599069150533E-2"/>
                  <c:y val="-0.14887046290137113"/>
                </c:manualLayout>
              </c:layout>
              <c:spPr>
                <a:solidFill>
                  <a:sysClr val="window" lastClr="FFFFFF"/>
                </a:solidFill>
                <a:ln>
                  <a:solidFill>
                    <a:srgbClr val="9BBB59"/>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2025605704696594"/>
                      <c:h val="0.16376742800766922"/>
                    </c:manualLayout>
                  </c15:layout>
                </c:ext>
              </c:extLst>
            </c:dLbl>
            <c:dLbl>
              <c:idx val="4"/>
              <c:layout>
                <c:manualLayout>
                  <c:x val="-3.2550096633099393E-2"/>
                  <c:y val="1.3097576948264571E-2"/>
                </c:manualLayout>
              </c:layout>
              <c:spPr>
                <a:solidFill>
                  <a:sysClr val="window" lastClr="FFFFFF"/>
                </a:solidFill>
                <a:ln>
                  <a:solidFill>
                    <a:srgbClr val="9BBB59">
                      <a:tint val="83000"/>
                    </a:srgb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6166513287151283"/>
                      <c:h val="0.17130934517271784"/>
                    </c:manualLayout>
                  </c15:layout>
                </c:ext>
              </c:extLst>
            </c:dLbl>
            <c:dLbl>
              <c:idx val="5"/>
              <c:layout>
                <c:manualLayout>
                  <c:x val="-0.17059870872869609"/>
                  <c:y val="1.1422479361003254E-2"/>
                </c:manualLayout>
              </c:layout>
              <c:spPr>
                <a:solidFill>
                  <a:sysClr val="window" lastClr="FFFFFF"/>
                </a:solidFill>
                <a:ln>
                  <a:solidFill>
                    <a:srgbClr val="9BBB59">
                      <a:tint val="65000"/>
                    </a:srgb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1540250709430314"/>
                      <c:h val="0.17130934517271784"/>
                    </c:manualLayout>
                  </c15:layout>
                </c:ext>
              </c:extLst>
            </c:dLbl>
            <c:dLbl>
              <c:idx val="6"/>
              <c:layout>
                <c:manualLayout>
                  <c:x val="0.38662058072768352"/>
                  <c:y val="8.4916515838270687E-2"/>
                </c:manualLayout>
              </c:layout>
              <c:spPr>
                <a:solidFill>
                  <a:sysClr val="window" lastClr="FFFFFF"/>
                </a:solidFill>
                <a:ln>
                  <a:solidFill>
                    <a:srgbClr val="9BBB59">
                      <a:tint val="48000"/>
                    </a:srgbClr>
                  </a:solidFill>
                </a:ln>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28A6-4245-B988-624ACFF58CEC}"/>
                </c:ext>
                <c:ext xmlns:c15="http://schemas.microsoft.com/office/drawing/2012/chart" uri="{CE6537A1-D6FC-4f65-9D91-7224C49458BB}">
                  <c15:spPr xmlns:c15="http://schemas.microsoft.com/office/drawing/2012/chart">
                    <a:prstGeom prst="wedgeRoundRectCallout">
                      <a:avLst/>
                    </a:prstGeom>
                    <a:noFill/>
                    <a:ln>
                      <a:noFill/>
                    </a:ln>
                  </c15:spPr>
                  <c15:layout>
                    <c:manualLayout>
                      <c:w val="0.22681858847595221"/>
                      <c:h val="0.45902521025736215"/>
                    </c:manualLayout>
                  </c15:layout>
                </c:ext>
              </c:extLst>
            </c:dLbl>
            <c:spPr>
              <a:effectLst/>
            </c:spPr>
            <c:txPr>
              <a:bodyPr rot="0" spcFirstLastPara="1" vertOverflow="clip" horzOverflow="clip" vert="horz" wrap="square" lIns="36576" tIns="18288" rIns="36576" bIns="18288" anchor="ctr" anchorCtr="1">
                <a:spAutoFit/>
              </a:bodyPr>
              <a:lstStyle/>
              <a:p>
                <a:pPr>
                  <a:defRPr sz="1200" b="1" i="0" u="none" strike="noStrike" kern="1200" baseline="0">
                    <a:solidFill>
                      <a:schemeClr val="accent3">
                        <a:lumMod val="50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ext>
            </c:extLst>
          </c:dLbls>
          <c:cat>
            <c:strRef>
              <c:f>izdEKat!$A$3:$A$9</c:f>
              <c:strCache>
                <c:ptCount val="7"/>
                <c:pt idx="0">
                  <c:v>Atlīdzība</c:v>
                </c:pt>
                <c:pt idx="1">
                  <c:v>Preces un pakalpojumi</c:v>
                </c:pt>
                <c:pt idx="2">
                  <c:v>Subsīdijas un dotācijas</c:v>
                </c:pt>
                <c:pt idx="3">
                  <c:v>Procentu izdevumi</c:v>
                </c:pt>
                <c:pt idx="4">
                  <c:v>Pamatkapitāla veidošana</c:v>
                </c:pt>
                <c:pt idx="5">
                  <c:v>Sociālie pabalsti</c:v>
                </c:pt>
                <c:pt idx="6">
                  <c:v>Uzturēšanas izdevumu transferti, pašu resursu maksājumi, starptautiskā sadarbība</c:v>
                </c:pt>
              </c:strCache>
            </c:strRef>
          </c:cat>
          <c:val>
            <c:numRef>
              <c:f>izdEKat!$B$3:$B$9</c:f>
              <c:numCache>
                <c:formatCode>#,##0</c:formatCode>
                <c:ptCount val="7"/>
                <c:pt idx="0">
                  <c:v>3736263</c:v>
                </c:pt>
                <c:pt idx="1">
                  <c:v>1625100</c:v>
                </c:pt>
                <c:pt idx="2">
                  <c:v>188796</c:v>
                </c:pt>
                <c:pt idx="3">
                  <c:v>400</c:v>
                </c:pt>
                <c:pt idx="4">
                  <c:v>2813222</c:v>
                </c:pt>
                <c:pt idx="5">
                  <c:v>283731</c:v>
                </c:pt>
                <c:pt idx="6">
                  <c:v>68417</c:v>
                </c:pt>
              </c:numCache>
            </c:numRef>
          </c:val>
          <c:extLst xmlns:c16r2="http://schemas.microsoft.com/office/drawing/2015/06/chart">
            <c:ext xmlns:c16="http://schemas.microsoft.com/office/drawing/2014/chart" uri="{C3380CC4-5D6E-409C-BE32-E72D297353CC}">
              <c16:uniqueId val="{0000000E-28A6-4245-B988-624ACFF58CE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1930-AD97-4894-BA58-509C609A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18019</Words>
  <Characters>10271</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pandersone</dc:creator>
  <cp:keywords/>
  <dc:description/>
  <cp:lastModifiedBy>User</cp:lastModifiedBy>
  <cp:revision>2</cp:revision>
  <cp:lastPrinted>2018-01-30T12:30:00Z</cp:lastPrinted>
  <dcterms:created xsi:type="dcterms:W3CDTF">2018-01-30T12:31:00Z</dcterms:created>
  <dcterms:modified xsi:type="dcterms:W3CDTF">2018-01-30T12:31:00Z</dcterms:modified>
</cp:coreProperties>
</file>