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4D" w:rsidRDefault="00E61C4D" w:rsidP="00E61C4D">
      <w:pPr>
        <w:jc w:val="center"/>
        <w:rPr>
          <w:b/>
        </w:rPr>
      </w:pPr>
    </w:p>
    <w:p w:rsidR="00790A06" w:rsidRDefault="00790A06" w:rsidP="00790A06">
      <w:pPr>
        <w:jc w:val="right"/>
        <w:rPr>
          <w:rFonts w:eastAsia="Batang"/>
        </w:rPr>
      </w:pPr>
      <w:r>
        <w:rPr>
          <w:rFonts w:eastAsia="Batang"/>
        </w:rPr>
        <w:t>42</w:t>
      </w:r>
      <w:r>
        <w:rPr>
          <w:rFonts w:eastAsia="Batang"/>
        </w:rPr>
        <w:t>.pielikums</w:t>
      </w:r>
    </w:p>
    <w:p w:rsidR="00790A06" w:rsidRDefault="00790A06" w:rsidP="00790A06">
      <w:pPr>
        <w:jc w:val="right"/>
        <w:rPr>
          <w:rFonts w:eastAsia="Batang"/>
          <w:color w:val="000000"/>
          <w:lang w:val="en-US"/>
        </w:rPr>
      </w:pPr>
      <w:r>
        <w:rPr>
          <w:rFonts w:eastAsia="Batang"/>
        </w:rPr>
        <w:t>Priekules novada pašvaldības domes</w:t>
      </w:r>
    </w:p>
    <w:p w:rsidR="00790A06" w:rsidRDefault="00790A06" w:rsidP="00790A06">
      <w:pPr>
        <w:jc w:val="right"/>
        <w:rPr>
          <w:rFonts w:eastAsia="Calibri"/>
        </w:rPr>
      </w:pPr>
      <w:r>
        <w:rPr>
          <w:rFonts w:eastAsia="Batang"/>
        </w:rPr>
        <w:t>2016.gada 26</w:t>
      </w:r>
      <w:r>
        <w:rPr>
          <w:rFonts w:eastAsia="Batang"/>
        </w:rPr>
        <w:t>.maija sēdes protokolam Nr.10,42</w:t>
      </w:r>
      <w:r>
        <w:rPr>
          <w:rFonts w:eastAsia="Batang"/>
        </w:rPr>
        <w:t>.</w:t>
      </w:r>
    </w:p>
    <w:p w:rsidR="00A86957" w:rsidRDefault="00A86957" w:rsidP="00A86957">
      <w:pPr>
        <w:jc w:val="right"/>
      </w:pPr>
    </w:p>
    <w:p w:rsidR="00A86957" w:rsidRPr="0078377F" w:rsidRDefault="00A86957" w:rsidP="00A86957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57" w:rsidRPr="0078377F" w:rsidRDefault="00A86957" w:rsidP="00A86957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A86957" w:rsidRPr="0078377F" w:rsidRDefault="00A86957" w:rsidP="00A86957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A86957" w:rsidRPr="009857A1" w:rsidRDefault="00A86957" w:rsidP="00A86957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A86957" w:rsidRPr="0078377F" w:rsidRDefault="00A86957" w:rsidP="00A86957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A86957" w:rsidRPr="0078377F" w:rsidRDefault="00A86957" w:rsidP="00A86957">
      <w:pPr>
        <w:jc w:val="center"/>
        <w:rPr>
          <w:b/>
        </w:rPr>
      </w:pPr>
    </w:p>
    <w:p w:rsidR="00A86957" w:rsidRPr="00FF07C5" w:rsidRDefault="00A86957" w:rsidP="00A86957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A86957" w:rsidRPr="00F268CD" w:rsidRDefault="00A86957" w:rsidP="00A86957">
      <w:pPr>
        <w:jc w:val="center"/>
      </w:pPr>
      <w:r w:rsidRPr="00F268CD">
        <w:t>Priekulē</w:t>
      </w:r>
    </w:p>
    <w:p w:rsidR="00A86957" w:rsidRPr="0078377F" w:rsidRDefault="00A86957" w:rsidP="00A86957">
      <w:pPr>
        <w:jc w:val="center"/>
      </w:pPr>
    </w:p>
    <w:p w:rsidR="00A86957" w:rsidRPr="0078377F" w:rsidRDefault="00A86957" w:rsidP="00A86957">
      <w:pPr>
        <w:jc w:val="both"/>
        <w:rPr>
          <w:b/>
        </w:rPr>
      </w:pPr>
      <w:r w:rsidRPr="0078377F">
        <w:t>20</w:t>
      </w:r>
      <w:r>
        <w:t>16.gada 26.maijā</w:t>
      </w:r>
      <w:r w:rsidRPr="0078377F">
        <w:t xml:space="preserve">                </w:t>
      </w:r>
      <w:r w:rsidRPr="0078377F">
        <w:tab/>
        <w:t xml:space="preserve">                        </w:t>
      </w:r>
      <w:r>
        <w:t xml:space="preserve">                                                             Nr.10</w:t>
      </w:r>
    </w:p>
    <w:p w:rsidR="00E61C4D" w:rsidRPr="00BA0151" w:rsidRDefault="00BA0151" w:rsidP="00E61C4D">
      <w:pPr>
        <w:jc w:val="center"/>
        <w:rPr>
          <w:b/>
        </w:rPr>
      </w:pPr>
      <w:r w:rsidRPr="00BA0151">
        <w:rPr>
          <w:b/>
        </w:rPr>
        <w:t>42.</w:t>
      </w:r>
    </w:p>
    <w:p w:rsidR="00133C45" w:rsidRDefault="00E61C4D" w:rsidP="00133C45">
      <w:pPr>
        <w:pBdr>
          <w:bottom w:val="single" w:sz="12" w:space="1" w:color="auto"/>
        </w:pBdr>
        <w:jc w:val="center"/>
        <w:rPr>
          <w:b/>
        </w:rPr>
      </w:pPr>
      <w:r w:rsidRPr="00684655">
        <w:rPr>
          <w:b/>
        </w:rPr>
        <w:t xml:space="preserve">Par </w:t>
      </w:r>
      <w:r>
        <w:rPr>
          <w:b/>
        </w:rPr>
        <w:t>atļauju pieņemt lēmumus iepirkumā</w:t>
      </w:r>
      <w:r w:rsidRPr="0000205D">
        <w:rPr>
          <w:b/>
        </w:rPr>
        <w:t xml:space="preserve"> </w:t>
      </w:r>
      <w:r w:rsidRPr="000162BB">
        <w:rPr>
          <w:b/>
        </w:rPr>
        <w:t>„</w:t>
      </w:r>
      <w:r w:rsidRPr="00E61C4D">
        <w:rPr>
          <w:b/>
        </w:rPr>
        <w:t>Telpu remontdarbi Priekules novada pašvaldības iestādēs</w:t>
      </w:r>
      <w:r w:rsidRPr="000162BB">
        <w:rPr>
          <w:b/>
        </w:rPr>
        <w:t>”</w:t>
      </w:r>
    </w:p>
    <w:p w:rsidR="00E61C4D" w:rsidRPr="00684655" w:rsidRDefault="00E61C4D" w:rsidP="00E61C4D"/>
    <w:p w:rsidR="00E61C4D" w:rsidRDefault="00E61C4D" w:rsidP="00E61C4D">
      <w:pPr>
        <w:spacing w:after="12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Pašvaldības iepirkumu komisija ir izvērtējusi pretendentu iesniegtos piedāvājumus iepirkumā </w:t>
      </w:r>
      <w:r w:rsidRPr="00E5391A">
        <w:rPr>
          <w:rFonts w:eastAsiaTheme="minorHAnsi"/>
        </w:rPr>
        <w:t>„</w:t>
      </w:r>
      <w:r w:rsidRPr="00E61C4D">
        <w:rPr>
          <w:rFonts w:eastAsiaTheme="minorHAnsi"/>
        </w:rPr>
        <w:t>Telpu remontdarbi Priekules novada pašvaldības iestādēs</w:t>
      </w:r>
      <w:r w:rsidRPr="00E5391A">
        <w:rPr>
          <w:rFonts w:eastAsiaTheme="minorHAnsi"/>
        </w:rPr>
        <w:t>”</w:t>
      </w:r>
      <w:r>
        <w:rPr>
          <w:rFonts w:eastAsiaTheme="minorHAnsi"/>
        </w:rPr>
        <w:t xml:space="preserve"> (iepirkuma identifikācijas Nr.PNP2016/10). Ir saņemti sešu pretendentu piedāvājumi. Iepirkums sadalīts 18 daļās.</w:t>
      </w:r>
    </w:p>
    <w:p w:rsidR="00E61C4D" w:rsidRDefault="00E61C4D" w:rsidP="00E61C4D">
      <w:pPr>
        <w:spacing w:after="120"/>
        <w:ind w:firstLine="709"/>
        <w:jc w:val="both"/>
        <w:rPr>
          <w:rFonts w:eastAsiaTheme="minorHAnsi"/>
        </w:rPr>
      </w:pPr>
      <w:r>
        <w:rPr>
          <w:rFonts w:eastAsiaTheme="minorHAnsi"/>
        </w:rPr>
        <w:t>1., 2., 3., 7., 8., 12., 15., 17. un 18.iepirkumu  daļā budžetā paredzētais finansējums ir pietiekams paredzēto darbu veikšanai,  veidojot ietaupījumu</w:t>
      </w:r>
      <w:r w:rsidR="00BF3592">
        <w:rPr>
          <w:rFonts w:eastAsiaTheme="minorHAnsi"/>
        </w:rPr>
        <w:t xml:space="preserve"> (skat. pievienoto tabulu)</w:t>
      </w:r>
      <w:r>
        <w:rPr>
          <w:rFonts w:eastAsiaTheme="minorHAnsi"/>
        </w:rPr>
        <w:t xml:space="preserve">. </w:t>
      </w:r>
    </w:p>
    <w:p w:rsidR="00E61C4D" w:rsidRDefault="00E61C4D" w:rsidP="00E61C4D">
      <w:pPr>
        <w:spacing w:after="120"/>
        <w:ind w:firstLine="709"/>
        <w:jc w:val="both"/>
        <w:rPr>
          <w:rFonts w:eastAsiaTheme="minorHAnsi"/>
        </w:rPr>
      </w:pPr>
      <w:r>
        <w:rPr>
          <w:rFonts w:eastAsiaTheme="minorHAnsi"/>
        </w:rPr>
        <w:t>4., 5., 6., 9., 10., 11., 13., 14. un 16.iepirkuma daļā finansējums ir nepietiekams.</w:t>
      </w:r>
    </w:p>
    <w:p w:rsidR="00E61C4D" w:rsidRDefault="00E61C4D" w:rsidP="00E61C4D">
      <w:pPr>
        <w:spacing w:after="12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Par papildus nepieciešamo finansējumu informēti attiecīgo iestāžu vadītāji. </w:t>
      </w:r>
    </w:p>
    <w:p w:rsidR="00E61C4D" w:rsidRDefault="00CD5E5D" w:rsidP="00E61C4D">
      <w:pPr>
        <w:spacing w:after="120"/>
        <w:ind w:firstLine="709"/>
        <w:jc w:val="both"/>
      </w:pPr>
      <w:r>
        <w:t>Tā kā iepirkuma 13.daļai “</w:t>
      </w:r>
      <w:proofErr w:type="spellStart"/>
      <w:r w:rsidRPr="00CD5E5D">
        <w:t>Lietusūdeņu</w:t>
      </w:r>
      <w:proofErr w:type="spellEnd"/>
      <w:r w:rsidRPr="00CD5E5D">
        <w:t xml:space="preserve"> noteku nomaiņa daudzdzīvokļu mājām Gramzdā</w:t>
      </w:r>
      <w:r>
        <w:t xml:space="preserve">” un iepirkuma 14.daļai </w:t>
      </w:r>
      <w:r w:rsidRPr="00CD5E5D">
        <w:t xml:space="preserve"> </w:t>
      </w:r>
      <w:r>
        <w:t>“</w:t>
      </w:r>
      <w:r w:rsidRPr="00CD5E5D">
        <w:t>Ārdurvju nomaiņa daudzdzīvokļu mājām Gramzdā</w:t>
      </w:r>
      <w:r>
        <w:t>” pretendenta piedāvātā cena pārsniedz budžetā paredzētās iespējas par 6117,05 EUR, tad</w:t>
      </w:r>
      <w:r w:rsidRPr="00CD5E5D">
        <w:t xml:space="preserve"> </w:t>
      </w:r>
      <w:r w:rsidR="00E61C4D">
        <w:t xml:space="preserve">Gramzdas pagasta pārvaldes vadītājs Dzintars Kudums </w:t>
      </w:r>
      <w:r>
        <w:t xml:space="preserve">izlēmis, ka varētu atteikties no ārdurvju nomaiņas, tam paredzēto finansējumu novirzot </w:t>
      </w:r>
      <w:proofErr w:type="spellStart"/>
      <w:r>
        <w:t>lietusūdeņu</w:t>
      </w:r>
      <w:proofErr w:type="spellEnd"/>
      <w:r>
        <w:t xml:space="preserve"> noteku nomaiņai daudzdzīvokļu mājām</w:t>
      </w:r>
      <w:r w:rsidR="00E61C4D">
        <w:t>.</w:t>
      </w:r>
    </w:p>
    <w:p w:rsidR="00CD5E5D" w:rsidRDefault="00CD5E5D" w:rsidP="00E61C4D">
      <w:pPr>
        <w:spacing w:after="120"/>
        <w:ind w:firstLine="709"/>
        <w:jc w:val="both"/>
      </w:pPr>
      <w:r>
        <w:t xml:space="preserve">Iepirkuma </w:t>
      </w:r>
      <w:r w:rsidR="00133C45">
        <w:t xml:space="preserve"> </w:t>
      </w:r>
      <w:r>
        <w:t>9.daļā “</w:t>
      </w:r>
      <w:r w:rsidRPr="00CD5E5D">
        <w:t>Telpu remontdarbi Bunkas kultūras namā</w:t>
      </w:r>
      <w:r>
        <w:t xml:space="preserve">” paredzēto remontdarbu veikšanai papildus nepieciešams finansējums EUR </w:t>
      </w:r>
      <w:r w:rsidRPr="00CD5E5D">
        <w:t>741,98</w:t>
      </w:r>
      <w:r>
        <w:t xml:space="preserve"> apmērā. Bunkas pagasta pārvaldes vadītājs Edgars </w:t>
      </w:r>
      <w:proofErr w:type="spellStart"/>
      <w:r>
        <w:t>Dargužis</w:t>
      </w:r>
      <w:proofErr w:type="spellEnd"/>
      <w:r>
        <w:t xml:space="preserve"> informējis, ka viņš nevarot vairs atrast finansējumu šādu papildus izdevumu segšanai. Darbus varētu veikt samazinātā apjomā, kādu telpu neremontējot.</w:t>
      </w:r>
    </w:p>
    <w:p w:rsidR="00CD5E5D" w:rsidRDefault="00CD5E5D" w:rsidP="00E61C4D">
      <w:pPr>
        <w:spacing w:after="120"/>
        <w:ind w:firstLine="709"/>
        <w:jc w:val="both"/>
      </w:pPr>
      <w:r>
        <w:t xml:space="preserve">Iepirkuma </w:t>
      </w:r>
      <w:r w:rsidRPr="00CD5E5D">
        <w:t>„Telpu remontdarbi Priekules novada pašvaldības iestādēs”</w:t>
      </w:r>
      <w:r>
        <w:t xml:space="preserve"> nolikuma 2.2.1.punkts nosaka, ka </w:t>
      </w:r>
      <w:r w:rsidRPr="00CD5E5D">
        <w:rPr>
          <w:i/>
        </w:rPr>
        <w:t>Projekti tiek realizēti, ja pasūtītājam ir pietiekošs finansējums to realizēšanai. Nepietiekama finansējuma gadījumā Pasūtītājam ir tiesības neslēgt paredzamo līgumu vai slēgt līgumu par darbu veikšanu samazinātā apjomā</w:t>
      </w:r>
      <w:r w:rsidRPr="00CD5E5D">
        <w:t>.</w:t>
      </w:r>
    </w:p>
    <w:p w:rsidR="00CD5E5D" w:rsidRDefault="00CD5E5D" w:rsidP="00E61C4D">
      <w:pPr>
        <w:spacing w:after="120"/>
        <w:ind w:firstLine="709"/>
        <w:jc w:val="both"/>
        <w:rPr>
          <w:rFonts w:eastAsiaTheme="minorHAnsi"/>
        </w:rPr>
      </w:pPr>
      <w:r>
        <w:rPr>
          <w:rFonts w:eastAsiaTheme="minorHAnsi"/>
        </w:rPr>
        <w:t>Pārēj</w:t>
      </w:r>
      <w:r w:rsidR="00133C45">
        <w:rPr>
          <w:rFonts w:eastAsiaTheme="minorHAnsi"/>
        </w:rPr>
        <w:t>o</w:t>
      </w:r>
      <w:r>
        <w:rPr>
          <w:rFonts w:eastAsiaTheme="minorHAnsi"/>
        </w:rPr>
        <w:t xml:space="preserve"> iestā</w:t>
      </w:r>
      <w:r w:rsidR="00133C45">
        <w:rPr>
          <w:rFonts w:eastAsiaTheme="minorHAnsi"/>
        </w:rPr>
        <w:t>žu</w:t>
      </w:r>
      <w:r>
        <w:rPr>
          <w:rFonts w:eastAsiaTheme="minorHAnsi"/>
        </w:rPr>
        <w:t xml:space="preserve"> vadītāji plāno izdarīt grozījumus iestāžu budžetos, lai remontdarbus tomēr veiktu</w:t>
      </w:r>
      <w:r w:rsidR="00133C45">
        <w:rPr>
          <w:rFonts w:eastAsiaTheme="minorHAnsi"/>
        </w:rPr>
        <w:t xml:space="preserve"> pilnā apjomā</w:t>
      </w:r>
      <w:r>
        <w:rPr>
          <w:rFonts w:eastAsiaTheme="minorHAnsi"/>
        </w:rPr>
        <w:t>.</w:t>
      </w:r>
    </w:p>
    <w:p w:rsidR="00E61C4D" w:rsidRPr="0060037E" w:rsidRDefault="00E61C4D" w:rsidP="00E61C4D">
      <w:pPr>
        <w:spacing w:after="120"/>
        <w:ind w:firstLine="709"/>
        <w:jc w:val="both"/>
      </w:pPr>
      <w:r>
        <w:t xml:space="preserve">Iepirkumu komisija lūdz pieņemt lēmumu par tālāko rīcību </w:t>
      </w:r>
      <w:r w:rsidRPr="00C35909">
        <w:t xml:space="preserve">iepirkumā </w:t>
      </w:r>
      <w:r w:rsidR="00133C45" w:rsidRPr="00133C45">
        <w:t>„Telpu remontdarbi Priekules novada pašvaldības iestādēs”</w:t>
      </w:r>
      <w:r>
        <w:t xml:space="preserve">. </w:t>
      </w:r>
    </w:p>
    <w:p w:rsidR="006E0F5E" w:rsidRDefault="006E0F5E" w:rsidP="006E0F5E">
      <w:pPr>
        <w:jc w:val="both"/>
      </w:pPr>
      <w:r>
        <w:rPr>
          <w:b/>
        </w:rPr>
        <w:tab/>
        <w:t>Atklāti balsojot</w:t>
      </w:r>
      <w:r>
        <w:t xml:space="preserve"> </w:t>
      </w:r>
      <w:r>
        <w:rPr>
          <w:b/>
        </w:rPr>
        <w:t xml:space="preserve">PAR - 11 </w:t>
      </w:r>
      <w:r>
        <w:t xml:space="preserve">deputāti (Malda Andersone, Inita Rubeze, Arnis </w:t>
      </w:r>
      <w:proofErr w:type="spellStart"/>
      <w:r>
        <w:t>Kvietkausks</w:t>
      </w:r>
      <w:proofErr w:type="spellEnd"/>
      <w:r>
        <w:t xml:space="preserve">, Inese Kuduma, </w:t>
      </w:r>
      <w:proofErr w:type="spellStart"/>
      <w:r>
        <w:t>Vaclovs</w:t>
      </w:r>
      <w:proofErr w:type="spellEnd"/>
      <w:r>
        <w:t xml:space="preserve"> </w:t>
      </w:r>
      <w:proofErr w:type="spellStart"/>
      <w:r>
        <w:t>Kadaģis</w:t>
      </w:r>
      <w:proofErr w:type="spellEnd"/>
      <w:r>
        <w:t xml:space="preserve">, Mārtiņš </w:t>
      </w:r>
      <w:proofErr w:type="spellStart"/>
      <w:r>
        <w:t>Mikāls</w:t>
      </w:r>
      <w:proofErr w:type="spellEnd"/>
      <w:r>
        <w:t xml:space="preserve">, Ainars Cīrulis, Vija </w:t>
      </w:r>
      <w:proofErr w:type="spellStart"/>
      <w:r>
        <w:t>Jablonska</w:t>
      </w:r>
      <w:proofErr w:type="spellEnd"/>
      <w:r>
        <w:t xml:space="preserve">, Arta Brauna, </w:t>
      </w:r>
      <w:r>
        <w:lastRenderedPageBreak/>
        <w:t xml:space="preserve">Tatjana Ešenvalde, Andris </w:t>
      </w:r>
      <w:proofErr w:type="spellStart"/>
      <w:r>
        <w:t>Džeriņš</w:t>
      </w:r>
      <w:proofErr w:type="spellEnd"/>
      <w:r>
        <w:t xml:space="preserve">); </w:t>
      </w:r>
      <w:r>
        <w:rPr>
          <w:b/>
        </w:rPr>
        <w:t>PRET -  nav; ATTURAS -  nav;</w:t>
      </w:r>
      <w:r>
        <w:t xml:space="preserve"> Priekules novada pašvaldības dome </w:t>
      </w:r>
      <w:r>
        <w:rPr>
          <w:b/>
        </w:rPr>
        <w:t>NOLEMJ</w:t>
      </w:r>
      <w:r>
        <w:t>:</w:t>
      </w:r>
    </w:p>
    <w:p w:rsidR="00A86957" w:rsidRPr="008A084B" w:rsidRDefault="00A86957" w:rsidP="006E0F5E">
      <w:pPr>
        <w:suppressAutoHyphens/>
        <w:autoSpaceDN w:val="0"/>
        <w:ind w:firstLine="709"/>
        <w:jc w:val="both"/>
        <w:textAlignment w:val="baseline"/>
      </w:pPr>
    </w:p>
    <w:p w:rsidR="00E61C4D" w:rsidRDefault="00E61C4D" w:rsidP="00E61C4D">
      <w:pPr>
        <w:shd w:val="clear" w:color="auto" w:fill="FFFFFF"/>
        <w:spacing w:before="120"/>
        <w:ind w:firstLine="720"/>
        <w:jc w:val="both"/>
      </w:pPr>
      <w:r>
        <w:t xml:space="preserve">1. </w:t>
      </w:r>
      <w:r w:rsidR="00133C45">
        <w:t>A</w:t>
      </w:r>
      <w:r>
        <w:t>tļaut Priekules novada pašvaldības iepirkumu komisijai pieņemt lēmumu</w:t>
      </w:r>
      <w:r w:rsidR="00133C45">
        <w:t>s</w:t>
      </w:r>
      <w:r>
        <w:t xml:space="preserve"> </w:t>
      </w:r>
      <w:r w:rsidRPr="00005ECC">
        <w:t xml:space="preserve">par līguma slēgšanas tiesību piešķiršanu </w:t>
      </w:r>
      <w:r w:rsidR="00133C45" w:rsidRPr="00005ECC">
        <w:t>attiecīgaj</w:t>
      </w:r>
      <w:r w:rsidR="00133C45">
        <w:t>ie</w:t>
      </w:r>
      <w:r w:rsidR="00133C45" w:rsidRPr="00005ECC">
        <w:t>m pretendent</w:t>
      </w:r>
      <w:r w:rsidR="00133C45">
        <w:t>ie</w:t>
      </w:r>
      <w:r w:rsidR="00133C45" w:rsidRPr="00005ECC">
        <w:t xml:space="preserve">m </w:t>
      </w:r>
      <w:r w:rsidR="00133C45">
        <w:t xml:space="preserve">pilnā apjomā </w:t>
      </w:r>
      <w:r w:rsidRPr="00005ECC">
        <w:t>iepirkum</w:t>
      </w:r>
      <w:r w:rsidR="00133C45">
        <w:t>a</w:t>
      </w:r>
      <w:r w:rsidRPr="00005ECC">
        <w:t xml:space="preserve"> </w:t>
      </w:r>
      <w:r w:rsidR="00133C45" w:rsidRPr="00133C45">
        <w:t>„Telpu remontdarbi Priekules novada pašvaldības iestādēs”</w:t>
      </w:r>
      <w:r w:rsidR="00133C45">
        <w:t xml:space="preserve"> 1.-8., 10.-13. un 15.-18.daļās</w:t>
      </w:r>
      <w:r>
        <w:t>.</w:t>
      </w:r>
    </w:p>
    <w:p w:rsidR="00133C45" w:rsidRDefault="00133C45" w:rsidP="00133C45">
      <w:pPr>
        <w:shd w:val="clear" w:color="auto" w:fill="FFFFFF"/>
        <w:spacing w:before="120"/>
        <w:ind w:firstLine="720"/>
        <w:jc w:val="both"/>
      </w:pPr>
      <w:r>
        <w:t>2</w:t>
      </w:r>
      <w:r w:rsidR="00E61C4D">
        <w:t xml:space="preserve">. </w:t>
      </w:r>
      <w:r w:rsidR="00034103">
        <w:t>Atļaut pieņemt lēmumu</w:t>
      </w:r>
      <w:r w:rsidRPr="00133C45">
        <w:t xml:space="preserve"> par līguma slēgšanas tiesību piešķiršanu attiecīgaj</w:t>
      </w:r>
      <w:r>
        <w:t>a</w:t>
      </w:r>
      <w:r w:rsidRPr="00133C45">
        <w:t>m pretendent</w:t>
      </w:r>
      <w:r>
        <w:t>a</w:t>
      </w:r>
      <w:r w:rsidRPr="00133C45">
        <w:t xml:space="preserve">m </w:t>
      </w:r>
      <w:r>
        <w:t>samazinātā</w:t>
      </w:r>
      <w:r w:rsidRPr="00133C45">
        <w:t xml:space="preserve"> apjomā iepirkuma „Telpu remontdarbi Priekules novada pašvaldības iestādēs” </w:t>
      </w:r>
      <w:r>
        <w:t xml:space="preserve">9.daļā </w:t>
      </w:r>
      <w:r w:rsidRPr="00133C45">
        <w:t>“Telpu remontdarbi Bunkas kultūras namā”</w:t>
      </w:r>
      <w:r>
        <w:t xml:space="preserve"> nepietiekamā finansējuma dēļ.</w:t>
      </w:r>
      <w:r w:rsidRPr="00133C45">
        <w:t xml:space="preserve"> </w:t>
      </w:r>
    </w:p>
    <w:p w:rsidR="00E61C4D" w:rsidRPr="00133C45" w:rsidRDefault="00034103" w:rsidP="00133C45">
      <w:pPr>
        <w:shd w:val="clear" w:color="auto" w:fill="FFFFFF"/>
        <w:spacing w:before="120"/>
        <w:ind w:firstLine="720"/>
        <w:jc w:val="both"/>
      </w:pPr>
      <w:r>
        <w:t>3</w:t>
      </w:r>
      <w:r w:rsidR="00133C45">
        <w:t xml:space="preserve">. Neatļaut iepirkumu komisijai </w:t>
      </w:r>
      <w:r w:rsidR="00133C45" w:rsidRPr="00133C45">
        <w:t>pieņemt lēmumu par līguma slēgšanas tiesību piešķiršanu attiecīgaj</w:t>
      </w:r>
      <w:r w:rsidR="00133C45">
        <w:t>am</w:t>
      </w:r>
      <w:r w:rsidR="00133C45" w:rsidRPr="00133C45">
        <w:t xml:space="preserve"> pretendent</w:t>
      </w:r>
      <w:r w:rsidR="00133C45">
        <w:t>a</w:t>
      </w:r>
      <w:r w:rsidR="00133C45" w:rsidRPr="00133C45">
        <w:t xml:space="preserve">m iepirkuma „Telpu remontdarbi Priekules novada pašvaldības iestādēs” </w:t>
      </w:r>
      <w:r w:rsidR="00133C45">
        <w:t xml:space="preserve">14.daļā </w:t>
      </w:r>
      <w:r w:rsidR="00133C45" w:rsidRPr="00133C45">
        <w:t>“Ārdurvju nomaiņa daudzdzīvokļu mājām Gramzdā”</w:t>
      </w:r>
      <w:r w:rsidR="00133C45">
        <w:t>, jo pretendenta piedāvātā līgumcena pārsniedz pasūtītāja finansiālās iespējas.</w:t>
      </w:r>
    </w:p>
    <w:p w:rsidR="00E61C4D" w:rsidRDefault="00E61C4D" w:rsidP="00E61C4D">
      <w:pPr>
        <w:shd w:val="clear" w:color="auto" w:fill="FFFFFF"/>
        <w:ind w:firstLine="720"/>
        <w:jc w:val="both"/>
        <w:rPr>
          <w:b/>
        </w:rPr>
      </w:pPr>
    </w:p>
    <w:p w:rsidR="00E61C4D" w:rsidRPr="00ED6F74" w:rsidRDefault="00E61C4D" w:rsidP="00E61C4D">
      <w:pPr>
        <w:rPr>
          <w:u w:val="single"/>
        </w:rPr>
      </w:pPr>
      <w:r w:rsidRPr="00ED6F74">
        <w:rPr>
          <w:u w:val="single"/>
        </w:rPr>
        <w:t xml:space="preserve">Lēmums </w:t>
      </w:r>
      <w:r>
        <w:rPr>
          <w:u w:val="single"/>
        </w:rPr>
        <w:t>paziņoja</w:t>
      </w:r>
      <w:r w:rsidRPr="00ED6F74">
        <w:rPr>
          <w:u w:val="single"/>
        </w:rPr>
        <w:t>ms:</w:t>
      </w:r>
    </w:p>
    <w:p w:rsidR="00E61C4D" w:rsidRPr="00796CE9" w:rsidRDefault="00E61C4D" w:rsidP="00E61C4D">
      <w:r>
        <w:t>Iepirkumu komisijai</w:t>
      </w:r>
    </w:p>
    <w:p w:rsidR="00E61C4D" w:rsidRDefault="00E61C4D" w:rsidP="00E61C4D"/>
    <w:p w:rsidR="00A86957" w:rsidRPr="00C162E1" w:rsidRDefault="00A86957" w:rsidP="00A86957">
      <w:pPr>
        <w:jc w:val="both"/>
        <w:rPr>
          <w:rStyle w:val="Izteiksmgs"/>
        </w:rPr>
      </w:pPr>
    </w:p>
    <w:p w:rsidR="00A86957" w:rsidRPr="00C44A15" w:rsidRDefault="00A86957" w:rsidP="00A86957">
      <w:pPr>
        <w:jc w:val="both"/>
      </w:pPr>
      <w:r>
        <w:t>Pašvaldības domes priekšsēdētā</w:t>
      </w:r>
      <w:r w:rsidR="00790A06">
        <w:t xml:space="preserve">ja       </w:t>
      </w:r>
      <w:r w:rsidR="00790A06">
        <w:tab/>
      </w:r>
      <w:r w:rsidR="00790A06">
        <w:tab/>
      </w:r>
      <w:r w:rsidR="00790A06">
        <w:tab/>
      </w:r>
      <w:r w:rsidR="00790A06">
        <w:tab/>
      </w:r>
      <w:r>
        <w:tab/>
      </w:r>
      <w:r>
        <w:tab/>
      </w:r>
      <w:proofErr w:type="spellStart"/>
      <w:r>
        <w:t>V.Jablonska</w:t>
      </w:r>
      <w:proofErr w:type="spellEnd"/>
    </w:p>
    <w:p w:rsidR="00A86957" w:rsidRDefault="00A86957" w:rsidP="00A86957"/>
    <w:p w:rsidR="00A86957" w:rsidRPr="00315854" w:rsidRDefault="00A86957" w:rsidP="00A86957">
      <w:pPr>
        <w:jc w:val="both"/>
      </w:pPr>
    </w:p>
    <w:p w:rsidR="00A86957" w:rsidRPr="00315854" w:rsidRDefault="00A86957" w:rsidP="00A86957"/>
    <w:p w:rsidR="00A86957" w:rsidRPr="00315854" w:rsidRDefault="00A86957" w:rsidP="00A86957"/>
    <w:p w:rsidR="00A86957" w:rsidRPr="00315854" w:rsidRDefault="00A86957" w:rsidP="00A86957"/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A86957" w:rsidRDefault="00A86957" w:rsidP="00133C45">
      <w:pPr>
        <w:jc w:val="both"/>
      </w:pPr>
    </w:p>
    <w:p w:rsidR="00E61C4D" w:rsidRDefault="00E61C4D" w:rsidP="00133C45">
      <w:pPr>
        <w:jc w:val="both"/>
      </w:pPr>
      <w:r>
        <w:br w:type="page"/>
      </w:r>
    </w:p>
    <w:p w:rsidR="00E61C4D" w:rsidRDefault="00E61C4D">
      <w:pPr>
        <w:sectPr w:rsidR="00E61C4D" w:rsidSect="00790A06">
          <w:headerReference w:type="default" r:id="rId7"/>
          <w:footerReference w:type="default" r:id="rId8"/>
          <w:pgSz w:w="11906" w:h="16838"/>
          <w:pgMar w:top="709" w:right="1133" w:bottom="851" w:left="1418" w:header="709" w:footer="709" w:gutter="0"/>
          <w:cols w:space="708"/>
          <w:titlePg/>
          <w:docGrid w:linePitch="360"/>
        </w:sectPr>
      </w:pPr>
    </w:p>
    <w:tbl>
      <w:tblPr>
        <w:tblStyle w:val="Reatabula"/>
        <w:tblW w:w="14283" w:type="dxa"/>
        <w:tblLook w:val="04A0" w:firstRow="1" w:lastRow="0" w:firstColumn="1" w:lastColumn="0" w:noHBand="0" w:noVBand="1"/>
      </w:tblPr>
      <w:tblGrid>
        <w:gridCol w:w="1311"/>
        <w:gridCol w:w="3181"/>
        <w:gridCol w:w="1428"/>
        <w:gridCol w:w="1418"/>
        <w:gridCol w:w="1559"/>
        <w:gridCol w:w="1701"/>
        <w:gridCol w:w="1417"/>
        <w:gridCol w:w="2268"/>
      </w:tblGrid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b/>
                <w:sz w:val="20"/>
                <w:szCs w:val="20"/>
                <w:lang w:eastAsia="en-US"/>
              </w:rPr>
              <w:lastRenderedPageBreak/>
              <w:t>Iepirkuma daļas Nr.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b/>
                <w:sz w:val="20"/>
                <w:szCs w:val="20"/>
                <w:lang w:eastAsia="en-US"/>
              </w:rPr>
              <w:t>Iepirkuma daļas nosaukums</w:t>
            </w:r>
          </w:p>
        </w:tc>
        <w:tc>
          <w:tcPr>
            <w:tcW w:w="142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b/>
                <w:sz w:val="20"/>
                <w:szCs w:val="20"/>
                <w:lang w:eastAsia="en-US"/>
              </w:rPr>
              <w:t>Plānotais finansējums budžetā, EUR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b/>
                <w:sz w:val="20"/>
                <w:szCs w:val="20"/>
                <w:lang w:eastAsia="en-US"/>
              </w:rPr>
              <w:t>Paredzamā līgumcena</w:t>
            </w:r>
          </w:p>
          <w:p w:rsidR="00E61C4D" w:rsidRPr="00E61C4D" w:rsidRDefault="00E61C4D" w:rsidP="00E61C4D">
            <w:pPr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b/>
                <w:sz w:val="20"/>
                <w:szCs w:val="20"/>
                <w:lang w:eastAsia="en-US"/>
              </w:rPr>
              <w:t>(cena bez PVN), EUR</w:t>
            </w:r>
          </w:p>
        </w:tc>
        <w:tc>
          <w:tcPr>
            <w:tcW w:w="1559" w:type="dxa"/>
          </w:tcPr>
          <w:p w:rsidR="00E61C4D" w:rsidRPr="00E61C4D" w:rsidRDefault="00E61C4D" w:rsidP="00E61C4D">
            <w:pPr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b/>
                <w:sz w:val="20"/>
                <w:szCs w:val="20"/>
                <w:lang w:eastAsia="en-US"/>
              </w:rPr>
              <w:t>Uzvarējušā pretendenta piedāvātā līgumcena, EUR</w:t>
            </w:r>
          </w:p>
        </w:tc>
        <w:tc>
          <w:tcPr>
            <w:tcW w:w="1701" w:type="dxa"/>
          </w:tcPr>
          <w:p w:rsidR="00E61C4D" w:rsidRPr="00E61C4D" w:rsidRDefault="00E61C4D" w:rsidP="00E61C4D">
            <w:pPr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b/>
                <w:sz w:val="20"/>
                <w:szCs w:val="20"/>
                <w:lang w:eastAsia="en-US"/>
              </w:rPr>
              <w:t>Uzvarējušā pretendenta piedāvātā cena ar PVN, EUR</w:t>
            </w:r>
          </w:p>
        </w:tc>
        <w:tc>
          <w:tcPr>
            <w:tcW w:w="1417" w:type="dxa"/>
          </w:tcPr>
          <w:p w:rsidR="00E61C4D" w:rsidRPr="00E61C4D" w:rsidRDefault="00E61C4D" w:rsidP="00E61C4D">
            <w:pPr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b/>
                <w:sz w:val="20"/>
                <w:szCs w:val="20"/>
                <w:lang w:eastAsia="en-US"/>
              </w:rPr>
              <w:t>+ vai –</w:t>
            </w:r>
          </w:p>
          <w:p w:rsidR="00E61C4D" w:rsidRPr="00E61C4D" w:rsidRDefault="00E61C4D" w:rsidP="00E61C4D">
            <w:pPr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b/>
                <w:sz w:val="20"/>
                <w:szCs w:val="20"/>
                <w:lang w:eastAsia="en-US"/>
              </w:rPr>
              <w:t>EUR (ar PVN)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b/>
                <w:sz w:val="20"/>
                <w:szCs w:val="20"/>
                <w:lang w:eastAsia="en-US"/>
              </w:rPr>
              <w:t>Risinājums</w:t>
            </w: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</w:rPr>
              <w:t xml:space="preserve"> Telpu remontdarbi Priekules vidusskolā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21965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18100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11019,54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13333,64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+8631,36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Telpu remontdarbi Krotes Kronvalda Ata pamatskolā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14088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11500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7904,63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9564,60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+4523,40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Telpu remontdarbi Gramzdas pamatskolā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4900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3473,28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4202,67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+1797,33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Telpu remontdarbi Kalētu pamatskolā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9617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7900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8111,06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9814,38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-197,38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Finansējums, grozot iestādes budžetu</w:t>
            </w: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Telpu remontdarbi Priekules mūzikas un mākslas skolā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2306,55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2790,93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-1090,93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Finansējums, grozot iestādes budžetu</w:t>
            </w: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Linoleja ieklāšanas darbi Priekules pirmsskolas izglītības iestādes “Dzirnaviņas” telpās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1508,74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1825,58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-625,58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Finansējums, grozot iestādes budžetu</w:t>
            </w: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Telpu remontdarbi Priekules novada pašvaldības administrācijas ēkā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8200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6061,77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7334,74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+2665,26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Remontdarbi Kalētu bibliotēkas telpās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6689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5500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3569,10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4318,61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+2370,39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E61C4D" w:rsidRPr="00E61C4D" w:rsidTr="00127256">
        <w:trPr>
          <w:trHeight w:val="1831"/>
        </w:trPr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Telpu remontdarbi Bunkas kultūras namā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5500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5158,66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6241,98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-741,98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Tiks samazināti izpildāmo darbu apjomi, neveicot remontu kādā no telpām.</w:t>
            </w:r>
          </w:p>
        </w:tc>
        <w:bookmarkStart w:id="0" w:name="_GoBack"/>
        <w:bookmarkEnd w:id="0"/>
      </w:tr>
      <w:tr w:rsidR="00E61C4D" w:rsidRPr="00E61C4D" w:rsidTr="00127256">
        <w:trPr>
          <w:trHeight w:val="830"/>
        </w:trPr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Remontdarbi Priekules kultūras nama mazajā gaitenī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1520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1260,01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1524,61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-4,61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Telpu remontdarbi Kalētu tautas namā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5089,30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6158,05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-3658,05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No atlikušā finansējuma iepirkuma 8. un Kalētu mūzikas un mākslas skolas budžeta</w:t>
            </w: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Remontdarbi Gramzdas tautas nama zālē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4100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2548,10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3083,20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+1916,80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61C4D">
              <w:rPr>
                <w:sz w:val="20"/>
                <w:szCs w:val="20"/>
                <w:lang w:eastAsia="en-US"/>
              </w:rPr>
              <w:t>Lietusūdeņu</w:t>
            </w:r>
            <w:proofErr w:type="spellEnd"/>
            <w:r w:rsidRPr="00E61C4D">
              <w:rPr>
                <w:sz w:val="20"/>
                <w:szCs w:val="20"/>
                <w:lang w:eastAsia="en-US"/>
              </w:rPr>
              <w:t xml:space="preserve"> noteku nomaiņa daudzdzīvokļu mājām Gramzdā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10550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8700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13 390,83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16202,90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-5652,90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No paredzētā finansējuma iepirkuma 14.daļai.</w:t>
            </w: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Ārdurvju nomaiņa daudzdzīvokļu mājām Gramzdā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9800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8482,77</w:t>
            </w: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10264,15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-464,15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Darbi netiks veikti, finansējums tiek pārvirzīts iepirkuma 13.daļai.</w:t>
            </w: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Ārdurvju nomaiņa daudzdzīvokļu mājām un senlietu krātuvei Kalētos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2400+1000 = 3400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1900 + 800 = 2700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2465,57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2983,34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+416,66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Ārdurvju nomaiņa Virgas pamatskolā  un mājām “Vārtājas” un “Ērgļi” Virgas pagastā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1210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3179,04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3846,64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-2636,64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Sadārdzinājums mājām tiks segts no logu nomaiņas pārpalikuma. Lielākais sadārdzinājums attiecināms uz skolas 2 durvīm, kas tiks segts no Virgas pamatskolas remontdarbiem paredzētā finansējuma.</w:t>
            </w: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Logu nomaiņa Virgas pagastā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2850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2350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2176,35</w:t>
            </w: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2633,38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+216,62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E61C4D" w:rsidRPr="00E61C4D" w:rsidTr="00127256">
        <w:tc>
          <w:tcPr>
            <w:tcW w:w="131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18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61C4D">
              <w:rPr>
                <w:sz w:val="20"/>
                <w:szCs w:val="20"/>
                <w:lang w:eastAsia="en-US"/>
              </w:rPr>
              <w:t>Telpu remontdarbi Virgas pamatskolā</w:t>
            </w:r>
          </w:p>
        </w:tc>
        <w:tc>
          <w:tcPr>
            <w:tcW w:w="142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418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1559" w:type="dxa"/>
            <w:vAlign w:val="center"/>
          </w:tcPr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61C4D" w:rsidRPr="00E61C4D" w:rsidRDefault="00E61C4D" w:rsidP="00E61C4D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1C4D">
              <w:rPr>
                <w:rFonts w:eastAsiaTheme="minorHAnsi"/>
                <w:bCs/>
                <w:sz w:val="20"/>
                <w:szCs w:val="20"/>
                <w:lang w:eastAsia="en-US"/>
              </w:rPr>
              <w:t>2210,50</w:t>
            </w:r>
          </w:p>
        </w:tc>
        <w:tc>
          <w:tcPr>
            <w:tcW w:w="1701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2674,71</w:t>
            </w:r>
          </w:p>
        </w:tc>
        <w:tc>
          <w:tcPr>
            <w:tcW w:w="1417" w:type="dxa"/>
            <w:vAlign w:val="center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E61C4D">
              <w:rPr>
                <w:rFonts w:cstheme="minorBidi"/>
                <w:sz w:val="20"/>
                <w:szCs w:val="20"/>
                <w:lang w:eastAsia="en-US"/>
              </w:rPr>
              <w:t>+7325,29</w:t>
            </w:r>
          </w:p>
        </w:tc>
        <w:tc>
          <w:tcPr>
            <w:tcW w:w="2268" w:type="dxa"/>
          </w:tcPr>
          <w:p w:rsidR="00E61C4D" w:rsidRPr="00E61C4D" w:rsidRDefault="00E61C4D" w:rsidP="00E61C4D">
            <w:pPr>
              <w:spacing w:after="12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</w:tbl>
    <w:p w:rsidR="008E619B" w:rsidRDefault="008E619B"/>
    <w:sectPr w:rsidR="008E619B" w:rsidSect="0065757E">
      <w:pgSz w:w="16838" w:h="11906" w:orient="landscape"/>
      <w:pgMar w:top="1134" w:right="1134" w:bottom="1135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57" w:rsidRDefault="00731F57" w:rsidP="00BF3592">
      <w:r>
        <w:separator/>
      </w:r>
    </w:p>
  </w:endnote>
  <w:endnote w:type="continuationSeparator" w:id="0">
    <w:p w:rsidR="00731F57" w:rsidRDefault="00731F57" w:rsidP="00BF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594050"/>
      <w:docPartObj>
        <w:docPartGallery w:val="Page Numbers (Bottom of Page)"/>
        <w:docPartUnique/>
      </w:docPartObj>
    </w:sdtPr>
    <w:sdtEndPr/>
    <w:sdtContent>
      <w:p w:rsidR="00BF3592" w:rsidRDefault="00731F57">
        <w:pPr>
          <w:pStyle w:val="Kjene"/>
          <w:jc w:val="center"/>
        </w:pPr>
      </w:p>
    </w:sdtContent>
  </w:sdt>
  <w:p w:rsidR="00BF3592" w:rsidRDefault="00BF359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57" w:rsidRDefault="00731F57" w:rsidP="00BF3592">
      <w:r>
        <w:separator/>
      </w:r>
    </w:p>
  </w:footnote>
  <w:footnote w:type="continuationSeparator" w:id="0">
    <w:p w:rsidR="00731F57" w:rsidRDefault="00731F57" w:rsidP="00BF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7E" w:rsidRDefault="0065757E" w:rsidP="0065757E">
    <w:pPr>
      <w:pStyle w:val="Galve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4D"/>
    <w:rsid w:val="00034103"/>
    <w:rsid w:val="00133C45"/>
    <w:rsid w:val="00243EEE"/>
    <w:rsid w:val="002B65B9"/>
    <w:rsid w:val="002C44C8"/>
    <w:rsid w:val="004768B4"/>
    <w:rsid w:val="0065757E"/>
    <w:rsid w:val="006E0F5E"/>
    <w:rsid w:val="00731F57"/>
    <w:rsid w:val="00790A06"/>
    <w:rsid w:val="007D334B"/>
    <w:rsid w:val="008B3F9A"/>
    <w:rsid w:val="008E619B"/>
    <w:rsid w:val="00A60DF9"/>
    <w:rsid w:val="00A86957"/>
    <w:rsid w:val="00BA0151"/>
    <w:rsid w:val="00BF3592"/>
    <w:rsid w:val="00C01E9E"/>
    <w:rsid w:val="00C96AD7"/>
    <w:rsid w:val="00CD5E5D"/>
    <w:rsid w:val="00E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69C2D378-3A62-42C4-8B5D-A46BBCF9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6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A86957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E6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3C4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F359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F359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F359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F359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A86957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styleId="Izteiksmgs">
    <w:name w:val="Strong"/>
    <w:qFormat/>
    <w:rsid w:val="00A86957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757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757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3976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10</cp:revision>
  <cp:lastPrinted>2016-06-01T07:47:00Z</cp:lastPrinted>
  <dcterms:created xsi:type="dcterms:W3CDTF">2016-05-25T10:15:00Z</dcterms:created>
  <dcterms:modified xsi:type="dcterms:W3CDTF">2016-06-01T07:47:00Z</dcterms:modified>
</cp:coreProperties>
</file>